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22"/>
        <w:gridCol w:w="2252"/>
        <w:gridCol w:w="7494"/>
        <w:gridCol w:w="312"/>
      </w:tblGrid>
      <w:tr w:rsidR="00790508" w:rsidRPr="00790508" w14:paraId="634B466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0BD9007"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35B2E6E8" w14:textId="77777777">
        <w:trPr>
          <w:trHeight w:val="450"/>
        </w:trPr>
        <w:tc>
          <w:tcPr>
            <w:tcW w:w="10168" w:type="dxa"/>
            <w:gridSpan w:val="3"/>
            <w:vMerge/>
            <w:tcBorders>
              <w:top w:val="nil"/>
              <w:left w:val="nil"/>
              <w:bottom w:val="nil"/>
              <w:right w:val="nil"/>
            </w:tcBorders>
            <w:vAlign w:val="center"/>
          </w:tcPr>
          <w:p w14:paraId="59D94399"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7F031E6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07366F89" w14:textId="77777777">
        <w:trPr>
          <w:trHeight w:val="60"/>
        </w:trPr>
        <w:tc>
          <w:tcPr>
            <w:tcW w:w="667" w:type="dxa"/>
            <w:tcBorders>
              <w:top w:val="nil"/>
              <w:left w:val="nil"/>
              <w:bottom w:val="nil"/>
              <w:right w:val="nil"/>
            </w:tcBorders>
            <w:shd w:val="clear" w:color="auto" w:fill="auto"/>
            <w:vAlign w:val="center"/>
          </w:tcPr>
          <w:p w14:paraId="2B512BD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640AF373"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32A6CA7"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D970F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4E77A941" w14:textId="77777777">
        <w:trPr>
          <w:trHeight w:val="375"/>
        </w:trPr>
        <w:tc>
          <w:tcPr>
            <w:tcW w:w="10168" w:type="dxa"/>
            <w:gridSpan w:val="3"/>
            <w:vMerge w:val="restart"/>
            <w:tcBorders>
              <w:top w:val="nil"/>
              <w:left w:val="nil"/>
              <w:bottom w:val="nil"/>
              <w:right w:val="nil"/>
            </w:tcBorders>
            <w:shd w:val="clear" w:color="auto" w:fill="auto"/>
            <w:vAlign w:val="bottom"/>
          </w:tcPr>
          <w:p w14:paraId="4E618614"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0E6186A9"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6C6A6C86" w14:textId="77777777">
        <w:trPr>
          <w:trHeight w:val="375"/>
        </w:trPr>
        <w:tc>
          <w:tcPr>
            <w:tcW w:w="10168" w:type="dxa"/>
            <w:gridSpan w:val="3"/>
            <w:vMerge/>
            <w:tcBorders>
              <w:top w:val="nil"/>
              <w:left w:val="nil"/>
              <w:bottom w:val="nil"/>
              <w:right w:val="nil"/>
            </w:tcBorders>
            <w:vAlign w:val="center"/>
          </w:tcPr>
          <w:p w14:paraId="5FA514BA"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5B1915E9"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6A378A01" w14:textId="77777777">
        <w:trPr>
          <w:trHeight w:val="90"/>
        </w:trPr>
        <w:tc>
          <w:tcPr>
            <w:tcW w:w="667" w:type="dxa"/>
            <w:tcBorders>
              <w:top w:val="nil"/>
              <w:left w:val="nil"/>
              <w:bottom w:val="nil"/>
              <w:right w:val="nil"/>
            </w:tcBorders>
            <w:shd w:val="clear" w:color="auto" w:fill="auto"/>
            <w:vAlign w:val="center"/>
          </w:tcPr>
          <w:p w14:paraId="49D24B9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23A9A8F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3EC38A1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6E95219E"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79A3210D" w14:textId="77777777">
        <w:trPr>
          <w:trHeight w:val="345"/>
        </w:trPr>
        <w:tc>
          <w:tcPr>
            <w:tcW w:w="667" w:type="dxa"/>
            <w:tcBorders>
              <w:top w:val="nil"/>
              <w:left w:val="nil"/>
              <w:bottom w:val="nil"/>
              <w:right w:val="nil"/>
            </w:tcBorders>
            <w:shd w:val="clear" w:color="auto" w:fill="auto"/>
            <w:vAlign w:val="center"/>
          </w:tcPr>
          <w:p w14:paraId="6FB63FDF"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DBD435A"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0CD988F"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0A6256A8"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232A0679" w14:textId="77777777">
        <w:trPr>
          <w:trHeight w:val="345"/>
        </w:trPr>
        <w:tc>
          <w:tcPr>
            <w:tcW w:w="667" w:type="dxa"/>
            <w:tcBorders>
              <w:top w:val="nil"/>
              <w:left w:val="nil"/>
              <w:bottom w:val="nil"/>
              <w:right w:val="nil"/>
            </w:tcBorders>
            <w:shd w:val="clear" w:color="auto" w:fill="auto"/>
            <w:vAlign w:val="center"/>
          </w:tcPr>
          <w:p w14:paraId="0237EE81"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36C58B3A"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7B0B09"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32633661"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06475C8" w14:textId="77777777">
        <w:trPr>
          <w:trHeight w:val="405"/>
        </w:trPr>
        <w:tc>
          <w:tcPr>
            <w:tcW w:w="667" w:type="dxa"/>
            <w:tcBorders>
              <w:top w:val="nil"/>
              <w:left w:val="nil"/>
              <w:bottom w:val="nil"/>
              <w:right w:val="nil"/>
            </w:tcBorders>
            <w:shd w:val="clear" w:color="auto" w:fill="auto"/>
            <w:vAlign w:val="center"/>
          </w:tcPr>
          <w:p w14:paraId="1E4724A1"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A54F1B5"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7C96F98"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c>
          <w:tcPr>
            <w:tcW w:w="312" w:type="dxa"/>
            <w:vAlign w:val="center"/>
          </w:tcPr>
          <w:p w14:paraId="25CACE98"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1D38A79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076E52"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D201297"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000A17C0" w:rsidRPr="00790508">
              <w:rPr>
                <w:rFonts w:asciiTheme="majorHAnsi" w:eastAsia="Times New Roman" w:hAnsiTheme="majorHAnsi" w:cstheme="majorHAnsi"/>
                <w:sz w:val="16"/>
                <w:szCs w:val="16"/>
                <w:lang w:val="en-US" w:eastAsia="sk-SK"/>
              </w:rPr>
              <w:t>TOMÁNEK</w:t>
            </w:r>
          </w:p>
        </w:tc>
        <w:tc>
          <w:tcPr>
            <w:tcW w:w="312" w:type="dxa"/>
            <w:vAlign w:val="center"/>
          </w:tcPr>
          <w:p w14:paraId="2275D352"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3CECA72"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18110B0"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F69ED73" w14:textId="77777777" w:rsidR="00B13ACE" w:rsidRPr="00790508" w:rsidRDefault="000A17C0" w:rsidP="00C26381">
            <w:pPr>
              <w:spacing w:after="0" w:line="240" w:lineRule="auto"/>
              <w:rPr>
                <w:rFonts w:asciiTheme="majorHAnsi" w:eastAsia="Times New Roman" w:hAnsiTheme="majorHAnsi" w:cstheme="majorHAnsi"/>
                <w:sz w:val="16"/>
                <w:szCs w:val="16"/>
                <w:lang w:val="en-US" w:eastAsia="sk-SK"/>
              </w:rPr>
            </w:pPr>
            <w:r w:rsidRPr="00790508">
              <w:rPr>
                <w:rFonts w:asciiTheme="majorHAnsi" w:eastAsia="Times New Roman" w:hAnsiTheme="majorHAnsi" w:cstheme="majorHAnsi"/>
                <w:sz w:val="16"/>
                <w:szCs w:val="16"/>
                <w:lang w:val="en-US" w:eastAsia="sk-SK"/>
              </w:rPr>
              <w:t>Pavol</w:t>
            </w:r>
          </w:p>
        </w:tc>
        <w:tc>
          <w:tcPr>
            <w:tcW w:w="312" w:type="dxa"/>
            <w:vAlign w:val="center"/>
          </w:tcPr>
          <w:p w14:paraId="4DC759D9"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D6BC613"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3977D7"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3AB759D5" w14:textId="77777777" w:rsidR="00B13ACE" w:rsidRPr="00790508" w:rsidRDefault="000A17C0"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val="en-US" w:eastAsia="sk-SK"/>
              </w:rPr>
              <w:t xml:space="preserve">Prof. </w:t>
            </w:r>
            <w:proofErr w:type="spellStart"/>
            <w:r w:rsidRPr="00790508">
              <w:rPr>
                <w:rFonts w:asciiTheme="majorHAnsi" w:eastAsia="Times New Roman" w:hAnsiTheme="majorHAnsi" w:cstheme="majorHAnsi"/>
                <w:sz w:val="16"/>
                <w:szCs w:val="16"/>
                <w:lang w:val="en-US" w:eastAsia="sk-SK"/>
              </w:rPr>
              <w:t>PaedDr</w:t>
            </w:r>
            <w:proofErr w:type="spellEnd"/>
            <w:r w:rsidRPr="00790508">
              <w:rPr>
                <w:rFonts w:asciiTheme="majorHAnsi" w:eastAsia="Times New Roman" w:hAnsiTheme="majorHAnsi" w:cstheme="majorHAnsi"/>
                <w:sz w:val="16"/>
                <w:szCs w:val="16"/>
                <w:lang w:val="en-US" w:eastAsia="sk-SK"/>
              </w:rPr>
              <w:t xml:space="preserve">. </w:t>
            </w:r>
            <w:proofErr w:type="spellStart"/>
            <w:r w:rsidRPr="00790508">
              <w:rPr>
                <w:rFonts w:asciiTheme="majorHAnsi" w:eastAsia="Times New Roman" w:hAnsiTheme="majorHAnsi" w:cstheme="majorHAnsi"/>
                <w:sz w:val="16"/>
                <w:szCs w:val="16"/>
                <w:lang w:val="en-US" w:eastAsia="sk-SK"/>
              </w:rPr>
              <w:t>PhDr</w:t>
            </w:r>
            <w:proofErr w:type="spellEnd"/>
            <w:r w:rsidRPr="00790508">
              <w:rPr>
                <w:rFonts w:asciiTheme="majorHAnsi" w:eastAsia="Times New Roman" w:hAnsiTheme="majorHAnsi" w:cstheme="majorHAnsi"/>
                <w:sz w:val="16"/>
                <w:szCs w:val="16"/>
                <w:lang w:val="en-US" w:eastAsia="sk-SK"/>
              </w:rPr>
              <w:t xml:space="preserve">. </w:t>
            </w:r>
            <w:proofErr w:type="spellStart"/>
            <w:r w:rsidRPr="00790508">
              <w:rPr>
                <w:rFonts w:asciiTheme="majorHAnsi" w:eastAsia="Times New Roman" w:hAnsiTheme="majorHAnsi" w:cstheme="majorHAnsi"/>
                <w:sz w:val="16"/>
                <w:szCs w:val="16"/>
                <w:lang w:val="en-US" w:eastAsia="sk-SK"/>
              </w:rPr>
              <w:t>ThDr</w:t>
            </w:r>
            <w:proofErr w:type="spellEnd"/>
            <w:r w:rsidRPr="00790508">
              <w:rPr>
                <w:rFonts w:asciiTheme="majorHAnsi" w:eastAsia="Times New Roman" w:hAnsiTheme="majorHAnsi" w:cstheme="majorHAnsi"/>
                <w:sz w:val="16"/>
                <w:szCs w:val="16"/>
                <w:lang w:val="en-US" w:eastAsia="sk-SK"/>
              </w:rPr>
              <w:t>., PhD., MBA, MHA</w:t>
            </w:r>
          </w:p>
        </w:tc>
        <w:tc>
          <w:tcPr>
            <w:tcW w:w="312" w:type="dxa"/>
            <w:vAlign w:val="center"/>
          </w:tcPr>
          <w:p w14:paraId="26FE1B58"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59E9467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9AAF34"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B4031BD" w14:textId="77777777" w:rsidR="00B13ACE" w:rsidRPr="00790508" w:rsidRDefault="000A17C0"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https://www.portalvs.sk/regzam/detail/5833</w:t>
            </w:r>
          </w:p>
        </w:tc>
        <w:tc>
          <w:tcPr>
            <w:tcW w:w="312" w:type="dxa"/>
            <w:vAlign w:val="center"/>
          </w:tcPr>
          <w:p w14:paraId="38C0DCF4"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40B5D4C"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405A07"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EDF1CA0" w14:textId="284059F5" w:rsidR="00B13ACE" w:rsidRDefault="000A17C0"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70CABDD8" w14:textId="700D2774" w:rsidR="00D25546" w:rsidRPr="00790508" w:rsidRDefault="00D25546" w:rsidP="00C26381">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2CE1F89D"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308AE5F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3072AA3"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4FB9D22" w14:textId="77777777" w:rsidR="00B13ACE" w:rsidRPr="00790508" w:rsidRDefault="003B49FC" w:rsidP="00C26381">
            <w:pPr>
              <w:spacing w:after="0" w:line="240" w:lineRule="auto"/>
              <w:rPr>
                <w:rFonts w:asciiTheme="majorHAnsi" w:hAnsiTheme="majorHAnsi" w:cstheme="majorHAnsi"/>
                <w:bCs/>
                <w:sz w:val="16"/>
                <w:szCs w:val="16"/>
              </w:rPr>
            </w:pPr>
            <w:r w:rsidRPr="00790508">
              <w:rPr>
                <w:rFonts w:asciiTheme="majorHAnsi" w:hAnsiTheme="majorHAnsi" w:cstheme="majorHAnsi"/>
                <w:sz w:val="16"/>
                <w:szCs w:val="16"/>
              </w:rPr>
              <w:t xml:space="preserve">pedagogický výstup / </w:t>
            </w:r>
            <w:proofErr w:type="spellStart"/>
            <w:r w:rsidRPr="00790508">
              <w:rPr>
                <w:rFonts w:asciiTheme="majorHAnsi" w:hAnsiTheme="majorHAnsi" w:cstheme="majorHAnsi"/>
                <w:sz w:val="16"/>
                <w:szCs w:val="16"/>
              </w:rPr>
              <w:t>pedagogical</w:t>
            </w:r>
            <w:proofErr w:type="spellEnd"/>
            <w:r w:rsidRPr="00790508">
              <w:rPr>
                <w:rFonts w:asciiTheme="majorHAnsi" w:hAnsiTheme="majorHAnsi" w:cstheme="majorHAnsi"/>
                <w:sz w:val="16"/>
                <w:szCs w:val="16"/>
              </w:rPr>
              <w:t xml:space="preserve"> </w:t>
            </w:r>
            <w:r w:rsidRPr="00790508">
              <w:rPr>
                <w:rFonts w:asciiTheme="majorHAnsi" w:hAnsiTheme="majorHAnsi" w:cstheme="majorHAnsi"/>
                <w:bCs/>
                <w:sz w:val="16"/>
                <w:szCs w:val="16"/>
              </w:rPr>
              <w:t>output</w:t>
            </w:r>
          </w:p>
          <w:p w14:paraId="73C80D2C" w14:textId="77777777" w:rsidR="00B13ACE" w:rsidRPr="00790508" w:rsidRDefault="00B13ACE" w:rsidP="00C26381">
            <w:pPr>
              <w:pStyle w:val="Normln1"/>
              <w:rPr>
                <w:rFonts w:asciiTheme="majorHAnsi" w:hAnsiTheme="majorHAnsi" w:cstheme="majorHAnsi"/>
                <w:sz w:val="16"/>
                <w:szCs w:val="16"/>
              </w:rPr>
            </w:pPr>
          </w:p>
          <w:p w14:paraId="5CAE3982" w14:textId="77777777" w:rsidR="00B13ACE" w:rsidRPr="00790508" w:rsidRDefault="000A17C0" w:rsidP="00C26381">
            <w:pPr>
              <w:pStyle w:val="Normln1"/>
              <w:jc w:val="both"/>
              <w:rPr>
                <w:rFonts w:asciiTheme="majorHAnsi" w:eastAsia="Times New Roman" w:hAnsiTheme="majorHAnsi" w:cstheme="majorHAnsi"/>
                <w:i/>
                <w:iCs/>
                <w:sz w:val="16"/>
                <w:szCs w:val="16"/>
              </w:rPr>
            </w:pPr>
            <w:proofErr w:type="spellStart"/>
            <w:r w:rsidRPr="00790508">
              <w:rPr>
                <w:rFonts w:asciiTheme="majorHAnsi" w:hAnsiTheme="majorHAnsi" w:cstheme="majorHAnsi"/>
                <w:sz w:val="16"/>
                <w:szCs w:val="16"/>
              </w:rPr>
              <w:t>Tománek</w:t>
            </w:r>
            <w:proofErr w:type="spellEnd"/>
            <w:r w:rsidRPr="00790508">
              <w:rPr>
                <w:rFonts w:asciiTheme="majorHAnsi" w:hAnsiTheme="majorHAnsi" w:cstheme="majorHAnsi"/>
                <w:sz w:val="16"/>
                <w:szCs w:val="16"/>
              </w:rPr>
              <w:t xml:space="preserve">, P.  - </w:t>
            </w:r>
            <w:proofErr w:type="spellStart"/>
            <w:r w:rsidRPr="00790508">
              <w:rPr>
                <w:rFonts w:asciiTheme="majorHAnsi" w:hAnsiTheme="majorHAnsi" w:cstheme="majorHAnsi"/>
                <w:sz w:val="16"/>
                <w:szCs w:val="16"/>
              </w:rPr>
              <w:t>Valčová</w:t>
            </w:r>
            <w:proofErr w:type="spellEnd"/>
            <w:r w:rsidRPr="00790508">
              <w:rPr>
                <w:rFonts w:asciiTheme="majorHAnsi" w:hAnsiTheme="majorHAnsi" w:cstheme="majorHAnsi"/>
                <w:sz w:val="16"/>
                <w:szCs w:val="16"/>
              </w:rPr>
              <w:t xml:space="preserve">, K. – Paľa, G. – </w:t>
            </w:r>
            <w:proofErr w:type="spellStart"/>
            <w:r w:rsidRPr="00790508">
              <w:rPr>
                <w:rFonts w:asciiTheme="majorHAnsi" w:hAnsiTheme="majorHAnsi" w:cstheme="majorHAnsi"/>
                <w:sz w:val="16"/>
                <w:szCs w:val="16"/>
              </w:rPr>
              <w:t>Babiev</w:t>
            </w:r>
            <w:proofErr w:type="spellEnd"/>
            <w:r w:rsidRPr="00790508">
              <w:rPr>
                <w:rFonts w:asciiTheme="majorHAnsi" w:hAnsiTheme="majorHAnsi" w:cstheme="majorHAnsi"/>
                <w:sz w:val="16"/>
                <w:szCs w:val="16"/>
              </w:rPr>
              <w:t xml:space="preserve">, N. S. – </w:t>
            </w:r>
            <w:proofErr w:type="spellStart"/>
            <w:r w:rsidRPr="00790508">
              <w:rPr>
                <w:rFonts w:asciiTheme="majorHAnsi" w:hAnsiTheme="majorHAnsi" w:cstheme="majorHAnsi"/>
                <w:sz w:val="16"/>
                <w:szCs w:val="16"/>
              </w:rPr>
              <w:t>Kryukova</w:t>
            </w:r>
            <w:proofErr w:type="spellEnd"/>
            <w:r w:rsidRPr="00790508">
              <w:rPr>
                <w:rFonts w:asciiTheme="majorHAnsi" w:hAnsiTheme="majorHAnsi" w:cstheme="majorHAnsi"/>
                <w:sz w:val="16"/>
                <w:szCs w:val="16"/>
              </w:rPr>
              <w:t xml:space="preserve">, N. I. – </w:t>
            </w:r>
            <w:proofErr w:type="spellStart"/>
            <w:r w:rsidRPr="00790508">
              <w:rPr>
                <w:rFonts w:asciiTheme="majorHAnsi" w:hAnsiTheme="majorHAnsi" w:cstheme="majorHAnsi"/>
                <w:sz w:val="16"/>
                <w:szCs w:val="16"/>
              </w:rPr>
              <w:t>Vasbieva</w:t>
            </w:r>
            <w:proofErr w:type="spellEnd"/>
            <w:r w:rsidRPr="00790508">
              <w:rPr>
                <w:rFonts w:asciiTheme="majorHAnsi" w:hAnsiTheme="majorHAnsi" w:cstheme="majorHAnsi"/>
                <w:sz w:val="16"/>
                <w:szCs w:val="16"/>
              </w:rPr>
              <w:t xml:space="preserve">, D. G. 2019. </w:t>
            </w:r>
            <w:proofErr w:type="spellStart"/>
            <w:r w:rsidRPr="00790508">
              <w:rPr>
                <w:rFonts w:asciiTheme="majorHAnsi" w:hAnsiTheme="majorHAnsi" w:cstheme="majorHAnsi"/>
                <w:sz w:val="16"/>
                <w:szCs w:val="16"/>
              </w:rPr>
              <w:t>Abortion</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Euthanasia</w:t>
            </w:r>
            <w:proofErr w:type="spellEnd"/>
            <w:r w:rsidRPr="00790508">
              <w:rPr>
                <w:rFonts w:asciiTheme="majorHAnsi" w:hAnsiTheme="majorHAnsi" w:cstheme="majorHAnsi"/>
                <w:sz w:val="16"/>
                <w:szCs w:val="16"/>
              </w:rPr>
              <w:t xml:space="preserve"> as </w:t>
            </w:r>
            <w:proofErr w:type="spellStart"/>
            <w:r w:rsidRPr="00790508">
              <w:rPr>
                <w:rFonts w:asciiTheme="majorHAnsi" w:hAnsiTheme="majorHAnsi" w:cstheme="majorHAnsi"/>
                <w:sz w:val="16"/>
                <w:szCs w:val="16"/>
              </w:rPr>
              <w:t>Threats</w:t>
            </w:r>
            <w:proofErr w:type="spellEnd"/>
            <w:r w:rsidRPr="00790508">
              <w:rPr>
                <w:rFonts w:asciiTheme="majorHAnsi" w:hAnsiTheme="majorHAnsi" w:cstheme="majorHAnsi"/>
                <w:sz w:val="16"/>
                <w:szCs w:val="16"/>
              </w:rPr>
              <w:t xml:space="preserve"> to </w:t>
            </w:r>
            <w:proofErr w:type="spellStart"/>
            <w:r w:rsidRPr="00790508">
              <w:rPr>
                <w:rFonts w:asciiTheme="majorHAnsi" w:hAnsiTheme="majorHAnsi" w:cstheme="majorHAnsi"/>
                <w:sz w:val="16"/>
                <w:szCs w:val="16"/>
              </w:rPr>
              <w:t>traditional</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a </w:t>
            </w:r>
            <w:proofErr w:type="spellStart"/>
            <w:r w:rsidRPr="00790508">
              <w:rPr>
                <w:rFonts w:asciiTheme="majorHAnsi" w:hAnsiTheme="majorHAnsi" w:cstheme="majorHAnsi"/>
                <w:sz w:val="16"/>
                <w:szCs w:val="16"/>
              </w:rPr>
              <w:t>comparative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Case</w:t>
            </w:r>
            <w:proofErr w:type="spellEnd"/>
            <w:r w:rsidRPr="00790508">
              <w:rPr>
                <w:rFonts w:asciiTheme="majorHAnsi" w:hAnsiTheme="majorHAnsi" w:cstheme="majorHAnsi"/>
                <w:sz w:val="16"/>
                <w:szCs w:val="16"/>
              </w:rPr>
              <w:t xml:space="preserve"> Study on Slovakia and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Russian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Federation</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European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Journal</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Science</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Theology</w:t>
            </w:r>
            <w:proofErr w:type="spellEnd"/>
            <w:r w:rsidRPr="00790508">
              <w:rPr>
                <w:rFonts w:asciiTheme="majorHAnsi" w:hAnsiTheme="majorHAnsi" w:cstheme="majorHAnsi"/>
                <w:sz w:val="16"/>
                <w:szCs w:val="16"/>
              </w:rPr>
              <w:t>, 2019, Vol.15, No. 6, 61-73 ISSN 1841 – 0464.</w:t>
            </w:r>
          </w:p>
        </w:tc>
        <w:tc>
          <w:tcPr>
            <w:tcW w:w="312" w:type="dxa"/>
            <w:vAlign w:val="center"/>
          </w:tcPr>
          <w:p w14:paraId="22E1190E"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23890809"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BA5BB5A"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00115E7D" w14:textId="77777777" w:rsidR="00B13ACE" w:rsidRPr="00790508" w:rsidRDefault="000A17C0" w:rsidP="00C26381">
            <w:pPr>
              <w:spacing w:after="0" w:line="240" w:lineRule="auto"/>
              <w:rPr>
                <w:rFonts w:asciiTheme="majorHAnsi" w:eastAsia="Times New Roman" w:hAnsiTheme="majorHAnsi" w:cstheme="majorHAnsi"/>
                <w:sz w:val="16"/>
                <w:szCs w:val="16"/>
                <w:lang w:val="en-US" w:eastAsia="sk-SK"/>
              </w:rPr>
            </w:pPr>
            <w:r w:rsidRPr="00790508">
              <w:rPr>
                <w:rFonts w:asciiTheme="majorHAnsi" w:eastAsia="Times New Roman" w:hAnsiTheme="majorHAnsi" w:cstheme="majorHAnsi"/>
                <w:sz w:val="16"/>
                <w:szCs w:val="16"/>
                <w:lang w:eastAsia="sk-SK"/>
              </w:rPr>
              <w:t>2019</w:t>
            </w:r>
          </w:p>
        </w:tc>
        <w:tc>
          <w:tcPr>
            <w:tcW w:w="312" w:type="dxa"/>
            <w:vAlign w:val="center"/>
          </w:tcPr>
          <w:p w14:paraId="35629F60"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3F0D353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06006F"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104B80E3" w14:textId="77777777" w:rsidR="00B30EC9" w:rsidRPr="00790508" w:rsidRDefault="00B30EC9" w:rsidP="00C26381">
            <w:pPr>
              <w:pStyle w:val="Nadpis3"/>
              <w:spacing w:line="240" w:lineRule="auto"/>
              <w:rPr>
                <w:rFonts w:eastAsia="Times New Roman" w:cstheme="majorHAnsi"/>
                <w:color w:val="auto"/>
                <w:sz w:val="16"/>
                <w:szCs w:val="16"/>
                <w:lang w:val="cs-CZ" w:eastAsia="cs-CZ"/>
              </w:rPr>
            </w:pPr>
            <w:r w:rsidRPr="00790508">
              <w:rPr>
                <w:rFonts w:cstheme="majorHAnsi"/>
                <w:color w:val="auto"/>
                <w:sz w:val="16"/>
                <w:szCs w:val="16"/>
              </w:rPr>
              <w:t>165955</w:t>
            </w:r>
          </w:p>
          <w:p w14:paraId="3B9C40C8"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312" w:type="dxa"/>
            <w:vAlign w:val="center"/>
          </w:tcPr>
          <w:p w14:paraId="746E1AF6"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469FF0F3"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8BE934E"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422616DD" w14:textId="77777777" w:rsidR="00B13ACE" w:rsidRPr="00790508" w:rsidRDefault="00B30EC9"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https://app.crepc.sk/?fn=detailBiblioFormChildK5EU7&amp;sid=2DE4D0DBB221E90D108F92A8D8&amp;seo=CREP%C4%8C-detail-%C4%8Cl%C3%A1nok</w:t>
            </w:r>
          </w:p>
        </w:tc>
        <w:tc>
          <w:tcPr>
            <w:tcW w:w="312" w:type="dxa"/>
            <w:vAlign w:val="center"/>
          </w:tcPr>
          <w:p w14:paraId="4A47FC1E"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3BA7E9F1"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0EB8342" w14:textId="77777777" w:rsidR="00B13ACE" w:rsidRPr="00790508" w:rsidRDefault="003B49FC" w:rsidP="00C26381">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66171A72"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F5E6C59" w14:textId="77777777" w:rsidR="00B13ACE" w:rsidRPr="00790508" w:rsidRDefault="000A17C0" w:rsidP="00C26381">
            <w:pPr>
              <w:spacing w:after="0" w:line="240" w:lineRule="auto"/>
              <w:ind w:left="160" w:hangingChars="100" w:hanging="160"/>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https://elibrary.ru/item.asp?id=43217657</w:t>
            </w:r>
          </w:p>
        </w:tc>
        <w:tc>
          <w:tcPr>
            <w:tcW w:w="312" w:type="dxa"/>
            <w:vAlign w:val="center"/>
          </w:tcPr>
          <w:p w14:paraId="046F449D"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0AA806FE"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3C69127"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3BB4D66"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23951FCB" w14:textId="77777777" w:rsidR="00B13ACE" w:rsidRPr="00790508" w:rsidRDefault="000A17C0" w:rsidP="00C26381">
            <w:pPr>
              <w:spacing w:after="0" w:line="240" w:lineRule="auto"/>
              <w:jc w:val="both"/>
              <w:rPr>
                <w:rFonts w:asciiTheme="majorHAnsi" w:eastAsia="Times New Roman" w:hAnsiTheme="majorHAnsi" w:cstheme="majorHAnsi"/>
                <w:sz w:val="16"/>
                <w:szCs w:val="16"/>
                <w:lang w:eastAsia="sk-SK"/>
              </w:rPr>
            </w:pPr>
            <w:proofErr w:type="spellStart"/>
            <w:r w:rsidRPr="00790508">
              <w:rPr>
                <w:rFonts w:asciiTheme="majorHAnsi" w:hAnsiTheme="majorHAnsi" w:cstheme="majorHAnsi"/>
                <w:sz w:val="16"/>
                <w:szCs w:val="16"/>
              </w:rPr>
              <w:t>Tománek</w:t>
            </w:r>
            <w:proofErr w:type="spellEnd"/>
            <w:r w:rsidRPr="00790508">
              <w:rPr>
                <w:rFonts w:asciiTheme="majorHAnsi" w:hAnsiTheme="majorHAnsi" w:cstheme="majorHAnsi"/>
                <w:sz w:val="16"/>
                <w:szCs w:val="16"/>
              </w:rPr>
              <w:t xml:space="preserve">, P.  - </w:t>
            </w:r>
            <w:proofErr w:type="spellStart"/>
            <w:r w:rsidRPr="00790508">
              <w:rPr>
                <w:rFonts w:asciiTheme="majorHAnsi" w:hAnsiTheme="majorHAnsi" w:cstheme="majorHAnsi"/>
                <w:sz w:val="16"/>
                <w:szCs w:val="16"/>
              </w:rPr>
              <w:t>Valčová</w:t>
            </w:r>
            <w:proofErr w:type="spellEnd"/>
            <w:r w:rsidRPr="00790508">
              <w:rPr>
                <w:rFonts w:asciiTheme="majorHAnsi" w:hAnsiTheme="majorHAnsi" w:cstheme="majorHAnsi"/>
                <w:sz w:val="16"/>
                <w:szCs w:val="16"/>
              </w:rPr>
              <w:t xml:space="preserve">, K. – Paľa, G. – </w:t>
            </w:r>
            <w:proofErr w:type="spellStart"/>
            <w:r w:rsidRPr="00790508">
              <w:rPr>
                <w:rFonts w:asciiTheme="majorHAnsi" w:hAnsiTheme="majorHAnsi" w:cstheme="majorHAnsi"/>
                <w:sz w:val="16"/>
                <w:szCs w:val="16"/>
              </w:rPr>
              <w:t>Babiev</w:t>
            </w:r>
            <w:proofErr w:type="spellEnd"/>
            <w:r w:rsidRPr="00790508">
              <w:rPr>
                <w:rFonts w:asciiTheme="majorHAnsi" w:hAnsiTheme="majorHAnsi" w:cstheme="majorHAnsi"/>
                <w:sz w:val="16"/>
                <w:szCs w:val="16"/>
              </w:rPr>
              <w:t xml:space="preserve">, N. S. – </w:t>
            </w:r>
            <w:proofErr w:type="spellStart"/>
            <w:r w:rsidRPr="00790508">
              <w:rPr>
                <w:rFonts w:asciiTheme="majorHAnsi" w:hAnsiTheme="majorHAnsi" w:cstheme="majorHAnsi"/>
                <w:sz w:val="16"/>
                <w:szCs w:val="16"/>
              </w:rPr>
              <w:t>Kryukova</w:t>
            </w:r>
            <w:proofErr w:type="spellEnd"/>
            <w:r w:rsidRPr="00790508">
              <w:rPr>
                <w:rFonts w:asciiTheme="majorHAnsi" w:hAnsiTheme="majorHAnsi" w:cstheme="majorHAnsi"/>
                <w:sz w:val="16"/>
                <w:szCs w:val="16"/>
              </w:rPr>
              <w:t xml:space="preserve">, N. I. – </w:t>
            </w:r>
            <w:proofErr w:type="spellStart"/>
            <w:r w:rsidRPr="00790508">
              <w:rPr>
                <w:rFonts w:asciiTheme="majorHAnsi" w:hAnsiTheme="majorHAnsi" w:cstheme="majorHAnsi"/>
                <w:sz w:val="16"/>
                <w:szCs w:val="16"/>
              </w:rPr>
              <w:t>Vasbieva</w:t>
            </w:r>
            <w:proofErr w:type="spellEnd"/>
            <w:r w:rsidRPr="00790508">
              <w:rPr>
                <w:rFonts w:asciiTheme="majorHAnsi" w:hAnsiTheme="majorHAnsi" w:cstheme="majorHAnsi"/>
                <w:sz w:val="16"/>
                <w:szCs w:val="16"/>
              </w:rPr>
              <w:t xml:space="preserve">, D. G. 2019. </w:t>
            </w:r>
            <w:proofErr w:type="spellStart"/>
            <w:r w:rsidRPr="00790508">
              <w:rPr>
                <w:rFonts w:asciiTheme="majorHAnsi" w:hAnsiTheme="majorHAnsi" w:cstheme="majorHAnsi"/>
                <w:sz w:val="16"/>
                <w:szCs w:val="16"/>
              </w:rPr>
              <w:t>Abortion</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Euthanasia</w:t>
            </w:r>
            <w:proofErr w:type="spellEnd"/>
            <w:r w:rsidRPr="00790508">
              <w:rPr>
                <w:rFonts w:asciiTheme="majorHAnsi" w:hAnsiTheme="majorHAnsi" w:cstheme="majorHAnsi"/>
                <w:sz w:val="16"/>
                <w:szCs w:val="16"/>
              </w:rPr>
              <w:t xml:space="preserve"> as </w:t>
            </w:r>
            <w:proofErr w:type="spellStart"/>
            <w:r w:rsidRPr="00790508">
              <w:rPr>
                <w:rFonts w:asciiTheme="majorHAnsi" w:hAnsiTheme="majorHAnsi" w:cstheme="majorHAnsi"/>
                <w:sz w:val="16"/>
                <w:szCs w:val="16"/>
              </w:rPr>
              <w:t>Threats</w:t>
            </w:r>
            <w:proofErr w:type="spellEnd"/>
            <w:r w:rsidRPr="00790508">
              <w:rPr>
                <w:rFonts w:asciiTheme="majorHAnsi" w:hAnsiTheme="majorHAnsi" w:cstheme="majorHAnsi"/>
                <w:sz w:val="16"/>
                <w:szCs w:val="16"/>
              </w:rPr>
              <w:t xml:space="preserve"> to </w:t>
            </w:r>
            <w:proofErr w:type="spellStart"/>
            <w:r w:rsidRPr="00790508">
              <w:rPr>
                <w:rFonts w:asciiTheme="majorHAnsi" w:hAnsiTheme="majorHAnsi" w:cstheme="majorHAnsi"/>
                <w:sz w:val="16"/>
                <w:szCs w:val="16"/>
              </w:rPr>
              <w:t>traditional</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a </w:t>
            </w:r>
            <w:proofErr w:type="spellStart"/>
            <w:r w:rsidRPr="00790508">
              <w:rPr>
                <w:rFonts w:asciiTheme="majorHAnsi" w:hAnsiTheme="majorHAnsi" w:cstheme="majorHAnsi"/>
                <w:sz w:val="16"/>
                <w:szCs w:val="16"/>
              </w:rPr>
              <w:t>comparative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Case</w:t>
            </w:r>
            <w:proofErr w:type="spellEnd"/>
            <w:r w:rsidRPr="00790508">
              <w:rPr>
                <w:rFonts w:asciiTheme="majorHAnsi" w:hAnsiTheme="majorHAnsi" w:cstheme="majorHAnsi"/>
                <w:sz w:val="16"/>
                <w:szCs w:val="16"/>
              </w:rPr>
              <w:t xml:space="preserve"> Study on Slovakia and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Russian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Federation</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European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Journal</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Science</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Theology</w:t>
            </w:r>
            <w:proofErr w:type="spellEnd"/>
            <w:r w:rsidRPr="00790508">
              <w:rPr>
                <w:rFonts w:asciiTheme="majorHAnsi" w:hAnsiTheme="majorHAnsi" w:cstheme="majorHAnsi"/>
                <w:sz w:val="16"/>
                <w:szCs w:val="16"/>
              </w:rPr>
              <w:t>, 2019, Vol.15, No. 6, 61-73 ISSN 1841 – 0464.</w:t>
            </w:r>
          </w:p>
        </w:tc>
        <w:tc>
          <w:tcPr>
            <w:tcW w:w="312" w:type="dxa"/>
            <w:vAlign w:val="center"/>
          </w:tcPr>
          <w:p w14:paraId="2AF16B24"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068EF0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20F99D"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B14F6D7"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lastRenderedPageBreak/>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1E4E8B39" w14:textId="77777777" w:rsidR="00B13ACE" w:rsidRPr="00790508" w:rsidRDefault="000A17C0" w:rsidP="00C26381">
            <w:pPr>
              <w:pStyle w:val="Textpoznmkypodiarou"/>
              <w:rPr>
                <w:rFonts w:asciiTheme="majorHAnsi" w:hAnsiTheme="majorHAnsi" w:cstheme="majorHAnsi"/>
                <w:sz w:val="16"/>
                <w:szCs w:val="16"/>
              </w:rPr>
            </w:pPr>
            <w:r w:rsidRPr="00790508">
              <w:rPr>
                <w:rFonts w:asciiTheme="majorHAnsi" w:hAnsiTheme="majorHAnsi" w:cstheme="majorHAnsi"/>
                <w:sz w:val="16"/>
                <w:szCs w:val="16"/>
              </w:rPr>
              <w:lastRenderedPageBreak/>
              <w:t>Monografia</w:t>
            </w:r>
            <w:r w:rsidR="003B49FC" w:rsidRPr="00790508">
              <w:rPr>
                <w:rFonts w:asciiTheme="majorHAnsi" w:hAnsiTheme="majorHAnsi" w:cstheme="majorHAnsi"/>
                <w:sz w:val="16"/>
                <w:szCs w:val="16"/>
              </w:rPr>
              <w:t xml:space="preserve"> / </w:t>
            </w:r>
            <w:proofErr w:type="spellStart"/>
            <w:r w:rsidRPr="00790508">
              <w:rPr>
                <w:rFonts w:asciiTheme="majorHAnsi" w:hAnsiTheme="majorHAnsi" w:cstheme="majorHAnsi"/>
                <w:sz w:val="16"/>
                <w:szCs w:val="16"/>
              </w:rPr>
              <w:t>Monography</w:t>
            </w:r>
            <w:proofErr w:type="spellEnd"/>
          </w:p>
          <w:p w14:paraId="463FB996" w14:textId="77777777" w:rsidR="00B13ACE" w:rsidRPr="00790508" w:rsidRDefault="00B13ACE" w:rsidP="00C26381">
            <w:pPr>
              <w:spacing w:after="0" w:line="240" w:lineRule="auto"/>
              <w:rPr>
                <w:rFonts w:asciiTheme="majorHAnsi" w:eastAsia="Times New Roman" w:hAnsiTheme="majorHAnsi" w:cstheme="majorHAnsi"/>
                <w:i/>
                <w:iCs/>
                <w:sz w:val="16"/>
                <w:szCs w:val="16"/>
                <w:lang w:val="en-US" w:eastAsia="sk-SK"/>
              </w:rPr>
            </w:pPr>
          </w:p>
        </w:tc>
        <w:tc>
          <w:tcPr>
            <w:tcW w:w="312" w:type="dxa"/>
            <w:vAlign w:val="center"/>
          </w:tcPr>
          <w:p w14:paraId="15BF8BF5"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541BC6F4"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04A69BCA"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6B3495C"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27121202" w14:textId="77777777" w:rsidR="00B13ACE" w:rsidRPr="00790508" w:rsidRDefault="00B13ACE" w:rsidP="00C26381">
            <w:pPr>
              <w:spacing w:after="0" w:line="240" w:lineRule="auto"/>
              <w:rPr>
                <w:rFonts w:asciiTheme="majorHAnsi" w:hAnsiTheme="majorHAnsi" w:cstheme="majorHAnsi"/>
                <w:sz w:val="16"/>
                <w:szCs w:val="16"/>
                <w:lang w:eastAsia="sk-SK"/>
              </w:rPr>
            </w:pPr>
          </w:p>
        </w:tc>
        <w:tc>
          <w:tcPr>
            <w:tcW w:w="312" w:type="dxa"/>
            <w:vAlign w:val="center"/>
          </w:tcPr>
          <w:p w14:paraId="7B49AA6B"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2AF3049C"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8AC50B0"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5A045CF"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0A2CFD2" w14:textId="77777777" w:rsidR="00B13ACE" w:rsidRPr="00790508" w:rsidRDefault="003B49FC" w:rsidP="00C26381">
            <w:pPr>
              <w:pStyle w:val="PredformtovanHTML"/>
              <w:shd w:val="clear" w:color="auto" w:fill="F8F9FA"/>
              <w:rPr>
                <w:rFonts w:asciiTheme="majorHAnsi" w:hAnsiTheme="majorHAnsi" w:cstheme="majorHAnsi"/>
                <w:sz w:val="16"/>
                <w:szCs w:val="16"/>
              </w:rPr>
            </w:pPr>
            <w:proofErr w:type="spellStart"/>
            <w:r w:rsidRPr="00790508">
              <w:rPr>
                <w:rFonts w:asciiTheme="majorHAnsi" w:hAnsiTheme="majorHAnsi" w:cstheme="majorHAnsi"/>
                <w:sz w:val="16"/>
                <w:szCs w:val="16"/>
                <w:lang w:val="en-US"/>
              </w:rPr>
              <w:t>podiel</w:t>
            </w:r>
            <w:proofErr w:type="spellEnd"/>
            <w:r w:rsidRPr="00790508">
              <w:rPr>
                <w:rFonts w:asciiTheme="majorHAnsi" w:hAnsiTheme="majorHAnsi" w:cstheme="majorHAnsi"/>
                <w:sz w:val="16"/>
                <w:szCs w:val="16"/>
                <w:lang w:val="en-US"/>
              </w:rPr>
              <w:t xml:space="preserve"> </w:t>
            </w:r>
            <w:proofErr w:type="spellStart"/>
            <w:proofErr w:type="gramStart"/>
            <w:r w:rsidRPr="00790508">
              <w:rPr>
                <w:rFonts w:asciiTheme="majorHAnsi" w:hAnsiTheme="majorHAnsi" w:cstheme="majorHAnsi"/>
                <w:sz w:val="16"/>
                <w:szCs w:val="16"/>
                <w:lang w:val="en-US"/>
              </w:rPr>
              <w:t>autora</w:t>
            </w:r>
            <w:proofErr w:type="spellEnd"/>
            <w:r w:rsidRPr="00790508">
              <w:rPr>
                <w:rFonts w:asciiTheme="majorHAnsi" w:hAnsiTheme="majorHAnsi" w:cstheme="majorHAnsi"/>
                <w:sz w:val="16"/>
                <w:szCs w:val="16"/>
                <w:lang w:val="en-US"/>
              </w:rPr>
              <w:t xml:space="preserve">  </w:t>
            </w:r>
            <w:r w:rsidR="00B30EC9" w:rsidRPr="00790508">
              <w:rPr>
                <w:rFonts w:asciiTheme="majorHAnsi" w:hAnsiTheme="majorHAnsi" w:cstheme="majorHAnsi"/>
                <w:sz w:val="16"/>
                <w:szCs w:val="16"/>
                <w:lang w:val="en-US"/>
              </w:rPr>
              <w:t>Tománek</w:t>
            </w:r>
            <w:proofErr w:type="gramEnd"/>
            <w:r w:rsidR="00B30EC9" w:rsidRPr="00790508">
              <w:rPr>
                <w:rFonts w:asciiTheme="majorHAnsi" w:hAnsiTheme="majorHAnsi" w:cstheme="majorHAnsi"/>
                <w:sz w:val="16"/>
                <w:szCs w:val="16"/>
                <w:lang w:val="en-US"/>
              </w:rPr>
              <w:t xml:space="preserve"> 40</w:t>
            </w:r>
            <w:r w:rsidRPr="00790508">
              <w:rPr>
                <w:rFonts w:asciiTheme="majorHAnsi" w:hAnsiTheme="majorHAnsi" w:cstheme="majorHAnsi"/>
                <w:sz w:val="16"/>
                <w:szCs w:val="16"/>
                <w:lang w:val="en-US"/>
              </w:rPr>
              <w:t xml:space="preserve">% / </w:t>
            </w:r>
            <w:r w:rsidRPr="00790508">
              <w:rPr>
                <w:rFonts w:asciiTheme="majorHAnsi" w:hAnsiTheme="majorHAnsi" w:cstheme="majorHAnsi"/>
                <w:sz w:val="16"/>
                <w:szCs w:val="16"/>
                <w:shd w:val="clear" w:color="auto" w:fill="F8F9FA"/>
                <w:lang w:val="en-US"/>
              </w:rPr>
              <w:t>author's contribution</w:t>
            </w:r>
            <w:r w:rsidRPr="00790508">
              <w:rPr>
                <w:rFonts w:asciiTheme="majorHAnsi" w:hAnsiTheme="majorHAnsi" w:cstheme="majorHAnsi"/>
                <w:sz w:val="16"/>
                <w:szCs w:val="16"/>
                <w:shd w:val="clear" w:color="auto" w:fill="F8F9FA"/>
              </w:rPr>
              <w:t xml:space="preserve"> </w:t>
            </w:r>
            <w:proofErr w:type="spellStart"/>
            <w:r w:rsidR="00B30EC9" w:rsidRPr="00790508">
              <w:rPr>
                <w:rFonts w:asciiTheme="majorHAnsi" w:hAnsiTheme="majorHAnsi" w:cstheme="majorHAnsi"/>
                <w:sz w:val="16"/>
                <w:szCs w:val="16"/>
                <w:shd w:val="clear" w:color="auto" w:fill="F8F9FA"/>
              </w:rPr>
              <w:t>Tománek</w:t>
            </w:r>
            <w:proofErr w:type="spellEnd"/>
            <w:r w:rsidR="00B30EC9" w:rsidRPr="00790508">
              <w:rPr>
                <w:rFonts w:asciiTheme="majorHAnsi" w:hAnsiTheme="majorHAnsi" w:cstheme="majorHAnsi"/>
                <w:sz w:val="16"/>
                <w:szCs w:val="16"/>
                <w:shd w:val="clear" w:color="auto" w:fill="F8F9FA"/>
              </w:rPr>
              <w:t xml:space="preserve"> 40</w:t>
            </w:r>
            <w:r w:rsidRPr="00790508">
              <w:rPr>
                <w:rFonts w:asciiTheme="majorHAnsi" w:hAnsiTheme="majorHAnsi" w:cstheme="majorHAnsi"/>
                <w:sz w:val="16"/>
                <w:szCs w:val="16"/>
                <w:shd w:val="clear" w:color="auto" w:fill="F8F9FA"/>
              </w:rPr>
              <w:t>%</w:t>
            </w:r>
          </w:p>
          <w:p w14:paraId="410B78EA" w14:textId="77777777" w:rsidR="00B13ACE" w:rsidRPr="00790508" w:rsidRDefault="00B13ACE" w:rsidP="00C26381">
            <w:pPr>
              <w:spacing w:after="0" w:line="240" w:lineRule="auto"/>
              <w:rPr>
                <w:rFonts w:asciiTheme="majorHAnsi" w:eastAsia="Times New Roman" w:hAnsiTheme="majorHAnsi" w:cstheme="majorHAnsi"/>
                <w:sz w:val="16"/>
                <w:szCs w:val="16"/>
                <w:lang w:val="en-US" w:eastAsia="sk-SK"/>
              </w:rPr>
            </w:pPr>
          </w:p>
        </w:tc>
        <w:tc>
          <w:tcPr>
            <w:tcW w:w="312" w:type="dxa"/>
            <w:vAlign w:val="center"/>
          </w:tcPr>
          <w:p w14:paraId="702A89BD"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451989CD"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8048C58"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7188E43B"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BA8AA97"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p w14:paraId="00A51FC7"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p w14:paraId="59C0BC41" w14:textId="77777777" w:rsidR="00B30EC9" w:rsidRPr="00790508" w:rsidRDefault="003B49FC" w:rsidP="00C26381">
            <w:pPr>
              <w:spacing w:after="0" w:line="240" w:lineRule="auto"/>
              <w:jc w:val="both"/>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Podiel autora je v spracovaní : </w:t>
            </w:r>
            <w:r w:rsidR="00B30EC9" w:rsidRPr="00790508">
              <w:rPr>
                <w:rFonts w:asciiTheme="majorHAnsi" w:eastAsia="Times New Roman" w:hAnsiTheme="majorHAnsi" w:cstheme="majorHAnsi"/>
                <w:sz w:val="16"/>
                <w:szCs w:val="16"/>
                <w:lang w:eastAsia="sk-SK"/>
              </w:rPr>
              <w:t xml:space="preserve">terminologické vymedzenie </w:t>
            </w:r>
            <w:proofErr w:type="spellStart"/>
            <w:r w:rsidR="00B30EC9" w:rsidRPr="00790508">
              <w:rPr>
                <w:rFonts w:asciiTheme="majorHAnsi" w:eastAsia="Times New Roman" w:hAnsiTheme="majorHAnsi" w:cstheme="majorHAnsi"/>
                <w:sz w:val="16"/>
                <w:szCs w:val="16"/>
                <w:lang w:eastAsia="sk-SK"/>
              </w:rPr>
              <w:t>abortivizmu</w:t>
            </w:r>
            <w:proofErr w:type="spellEnd"/>
            <w:r w:rsidR="00B30EC9" w:rsidRPr="00790508">
              <w:rPr>
                <w:rFonts w:asciiTheme="majorHAnsi" w:eastAsia="Times New Roman" w:hAnsiTheme="majorHAnsi" w:cstheme="majorHAnsi"/>
                <w:sz w:val="16"/>
                <w:szCs w:val="16"/>
                <w:lang w:eastAsia="sk-SK"/>
              </w:rPr>
              <w:t xml:space="preserve"> a eutanázie, modely rodiny, prístup vo výchove, prevencia, aktuálna situácia na Slovensku a v zahraničí. / </w:t>
            </w:r>
            <w:proofErr w:type="spellStart"/>
            <w:r w:rsidR="00B30EC9" w:rsidRPr="00790508">
              <w:rPr>
                <w:rFonts w:asciiTheme="majorHAnsi" w:eastAsia="Times New Roman" w:hAnsiTheme="majorHAnsi" w:cstheme="majorHAnsi"/>
                <w:sz w:val="16"/>
                <w:szCs w:val="16"/>
                <w:lang w:eastAsia="sk-SK"/>
              </w:rPr>
              <w:t>The</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author's</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share</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is</w:t>
            </w:r>
            <w:proofErr w:type="spellEnd"/>
            <w:r w:rsidR="00B30EC9" w:rsidRPr="00790508">
              <w:rPr>
                <w:rFonts w:asciiTheme="majorHAnsi" w:eastAsia="Times New Roman" w:hAnsiTheme="majorHAnsi" w:cstheme="majorHAnsi"/>
                <w:sz w:val="16"/>
                <w:szCs w:val="16"/>
                <w:lang w:eastAsia="sk-SK"/>
              </w:rPr>
              <w:t xml:space="preserve"> in </w:t>
            </w:r>
            <w:proofErr w:type="spellStart"/>
            <w:r w:rsidR="00B30EC9" w:rsidRPr="00790508">
              <w:rPr>
                <w:rFonts w:asciiTheme="majorHAnsi" w:eastAsia="Times New Roman" w:hAnsiTheme="majorHAnsi" w:cstheme="majorHAnsi"/>
                <w:sz w:val="16"/>
                <w:szCs w:val="16"/>
                <w:lang w:eastAsia="sk-SK"/>
              </w:rPr>
              <w:t>the</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processing</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terminological</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definition</w:t>
            </w:r>
            <w:proofErr w:type="spellEnd"/>
            <w:r w:rsidR="00B30EC9" w:rsidRPr="00790508">
              <w:rPr>
                <w:rFonts w:asciiTheme="majorHAnsi" w:eastAsia="Times New Roman" w:hAnsiTheme="majorHAnsi" w:cstheme="majorHAnsi"/>
                <w:sz w:val="16"/>
                <w:szCs w:val="16"/>
                <w:lang w:eastAsia="sk-SK"/>
              </w:rPr>
              <w:t xml:space="preserve"> of </w:t>
            </w:r>
            <w:proofErr w:type="spellStart"/>
            <w:r w:rsidR="00B30EC9" w:rsidRPr="00790508">
              <w:rPr>
                <w:rFonts w:asciiTheme="majorHAnsi" w:eastAsia="Times New Roman" w:hAnsiTheme="majorHAnsi" w:cstheme="majorHAnsi"/>
                <w:sz w:val="16"/>
                <w:szCs w:val="16"/>
                <w:lang w:eastAsia="sk-SK"/>
              </w:rPr>
              <w:t>abortivism</w:t>
            </w:r>
            <w:proofErr w:type="spellEnd"/>
            <w:r w:rsidR="00B30EC9" w:rsidRPr="00790508">
              <w:rPr>
                <w:rFonts w:asciiTheme="majorHAnsi" w:eastAsia="Times New Roman" w:hAnsiTheme="majorHAnsi" w:cstheme="majorHAnsi"/>
                <w:sz w:val="16"/>
                <w:szCs w:val="16"/>
                <w:lang w:eastAsia="sk-SK"/>
              </w:rPr>
              <w:t xml:space="preserve"> and </w:t>
            </w:r>
            <w:proofErr w:type="spellStart"/>
            <w:r w:rsidR="00B30EC9" w:rsidRPr="00790508">
              <w:rPr>
                <w:rFonts w:asciiTheme="majorHAnsi" w:eastAsia="Times New Roman" w:hAnsiTheme="majorHAnsi" w:cstheme="majorHAnsi"/>
                <w:sz w:val="16"/>
                <w:szCs w:val="16"/>
                <w:lang w:eastAsia="sk-SK"/>
              </w:rPr>
              <w:t>euthanasia</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family</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models</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approach</w:t>
            </w:r>
            <w:proofErr w:type="spellEnd"/>
            <w:r w:rsidR="00B30EC9" w:rsidRPr="00790508">
              <w:rPr>
                <w:rFonts w:asciiTheme="majorHAnsi" w:eastAsia="Times New Roman" w:hAnsiTheme="majorHAnsi" w:cstheme="majorHAnsi"/>
                <w:sz w:val="16"/>
                <w:szCs w:val="16"/>
                <w:lang w:eastAsia="sk-SK"/>
              </w:rPr>
              <w:t xml:space="preserve"> in </w:t>
            </w:r>
            <w:proofErr w:type="spellStart"/>
            <w:r w:rsidR="00B30EC9" w:rsidRPr="00790508">
              <w:rPr>
                <w:rFonts w:asciiTheme="majorHAnsi" w:eastAsia="Times New Roman" w:hAnsiTheme="majorHAnsi" w:cstheme="majorHAnsi"/>
                <w:sz w:val="16"/>
                <w:szCs w:val="16"/>
                <w:lang w:eastAsia="sk-SK"/>
              </w:rPr>
              <w:t>education</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prevention</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current</w:t>
            </w:r>
            <w:proofErr w:type="spellEnd"/>
            <w:r w:rsidR="00B30EC9" w:rsidRPr="00790508">
              <w:rPr>
                <w:rFonts w:asciiTheme="majorHAnsi" w:eastAsia="Times New Roman" w:hAnsiTheme="majorHAnsi" w:cstheme="majorHAnsi"/>
                <w:sz w:val="16"/>
                <w:szCs w:val="16"/>
                <w:lang w:eastAsia="sk-SK"/>
              </w:rPr>
              <w:t xml:space="preserve"> </w:t>
            </w:r>
            <w:proofErr w:type="spellStart"/>
            <w:r w:rsidR="00B30EC9" w:rsidRPr="00790508">
              <w:rPr>
                <w:rFonts w:asciiTheme="majorHAnsi" w:eastAsia="Times New Roman" w:hAnsiTheme="majorHAnsi" w:cstheme="majorHAnsi"/>
                <w:sz w:val="16"/>
                <w:szCs w:val="16"/>
                <w:lang w:eastAsia="sk-SK"/>
              </w:rPr>
              <w:t>situation</w:t>
            </w:r>
            <w:proofErr w:type="spellEnd"/>
            <w:r w:rsidR="00B30EC9" w:rsidRPr="00790508">
              <w:rPr>
                <w:rFonts w:asciiTheme="majorHAnsi" w:eastAsia="Times New Roman" w:hAnsiTheme="majorHAnsi" w:cstheme="majorHAnsi"/>
                <w:sz w:val="16"/>
                <w:szCs w:val="16"/>
                <w:lang w:eastAsia="sk-SK"/>
              </w:rPr>
              <w:t xml:space="preserve"> in Slovakia and </w:t>
            </w:r>
            <w:proofErr w:type="spellStart"/>
            <w:r w:rsidR="00B30EC9" w:rsidRPr="00790508">
              <w:rPr>
                <w:rFonts w:asciiTheme="majorHAnsi" w:eastAsia="Times New Roman" w:hAnsiTheme="majorHAnsi" w:cstheme="majorHAnsi"/>
                <w:sz w:val="16"/>
                <w:szCs w:val="16"/>
                <w:lang w:eastAsia="sk-SK"/>
              </w:rPr>
              <w:t>abroad</w:t>
            </w:r>
            <w:proofErr w:type="spellEnd"/>
            <w:r w:rsidR="00B30EC9" w:rsidRPr="00790508">
              <w:rPr>
                <w:rFonts w:asciiTheme="majorHAnsi" w:eastAsia="Times New Roman" w:hAnsiTheme="majorHAnsi" w:cstheme="majorHAnsi"/>
                <w:sz w:val="16"/>
                <w:szCs w:val="16"/>
                <w:lang w:eastAsia="sk-SK"/>
              </w:rPr>
              <w:t>.</w:t>
            </w:r>
          </w:p>
          <w:p w14:paraId="5202F4D6" w14:textId="77777777" w:rsidR="00B13ACE" w:rsidRPr="00790508" w:rsidRDefault="00B13ACE" w:rsidP="00C26381">
            <w:pPr>
              <w:spacing w:after="0" w:line="240" w:lineRule="auto"/>
              <w:rPr>
                <w:rFonts w:asciiTheme="majorHAnsi" w:eastAsia="Times New Roman" w:hAnsiTheme="majorHAnsi" w:cstheme="majorHAnsi"/>
                <w:sz w:val="16"/>
                <w:szCs w:val="16"/>
                <w:lang w:eastAsia="sk-SK"/>
              </w:rPr>
            </w:pPr>
          </w:p>
        </w:tc>
        <w:tc>
          <w:tcPr>
            <w:tcW w:w="312" w:type="dxa"/>
            <w:vAlign w:val="center"/>
          </w:tcPr>
          <w:p w14:paraId="56779846"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72199F17"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7FC8452D" w14:textId="77777777" w:rsidR="00B13ACE" w:rsidRPr="00790508" w:rsidRDefault="00EB369E" w:rsidP="00C26381">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4112C908" w14:textId="77777777" w:rsidR="00B13ACE" w:rsidRPr="00790508" w:rsidRDefault="00B30EC9" w:rsidP="00C26381">
            <w:pPr>
              <w:pStyle w:val="Textpoznmkypodiarou"/>
              <w:tabs>
                <w:tab w:val="left" w:pos="567"/>
              </w:tabs>
              <w:jc w:val="both"/>
              <w:rPr>
                <w:rFonts w:asciiTheme="majorHAnsi" w:eastAsia="SimSun" w:hAnsiTheme="majorHAnsi" w:cstheme="majorHAnsi"/>
                <w:sz w:val="16"/>
                <w:szCs w:val="16"/>
                <w:lang w:val="en-US" w:eastAsia="sk-SK"/>
              </w:rPr>
            </w:pPr>
            <w:r w:rsidRPr="00790508">
              <w:rPr>
                <w:rFonts w:asciiTheme="majorHAnsi" w:hAnsiTheme="majorHAnsi" w:cstheme="majorHAnsi"/>
                <w:sz w:val="16"/>
                <w:szCs w:val="16"/>
                <w:lang w:val="en-US" w:eastAsia="en-GB" w:bidi="he-IL"/>
              </w:rPr>
              <w:t>The article deals with the phenomena of abortion and euthanasia against the background of the environment of traditional family in Slovakia and Eastern Europe. Current interpretations and ethical evaluations of both phenomena are analyzed from various complementary angles allowing space for liberal as well as conservative views. The complexity of relationships between abortion and euthanasia on one side and family environment on the other, require a comprehensive approach that will integrate new findings from medicine, biology, psychology as well as competent assessments from scholars in ethics, theology, and philosophy. Implications of existing trends pertaining to the analyzed phenomena are far reaching, affecting subjective values (value judgments), established social norms, family structures, and overall atmosphere in society. Besides outlining the present situation, this study offers preliminary recommendations directed to preserving the values, structures, and institutions that have been conductive to social stability and overall wellbeing in the society.</w:t>
            </w:r>
          </w:p>
        </w:tc>
        <w:tc>
          <w:tcPr>
            <w:tcW w:w="312" w:type="dxa"/>
            <w:vAlign w:val="center"/>
          </w:tcPr>
          <w:p w14:paraId="08B71126"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5B004E5D"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5BF92FB6"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1A84ACA" w14:textId="77777777" w:rsidR="00B30EC9" w:rsidRPr="00790508" w:rsidRDefault="00B30EC9" w:rsidP="00C26381">
            <w:pPr>
              <w:numPr>
                <w:ilvl w:val="0"/>
                <w:numId w:val="2"/>
              </w:numPr>
              <w:tabs>
                <w:tab w:val="left" w:pos="232"/>
              </w:tabs>
              <w:spacing w:after="0" w:line="240" w:lineRule="auto"/>
              <w:ind w:left="28" w:firstLine="0"/>
              <w:rPr>
                <w:rFonts w:asciiTheme="majorHAnsi" w:eastAsia="SimSun" w:hAnsiTheme="majorHAnsi" w:cstheme="majorHAnsi"/>
                <w:sz w:val="16"/>
                <w:szCs w:val="16"/>
                <w:shd w:val="clear" w:color="auto" w:fill="FFFFFF"/>
                <w:lang w:eastAsia="sk-SK"/>
              </w:rPr>
            </w:pPr>
            <w:r w:rsidRPr="00790508">
              <w:rPr>
                <w:rFonts w:asciiTheme="majorHAnsi" w:hAnsiTheme="majorHAnsi" w:cstheme="majorHAnsi"/>
                <w:sz w:val="16"/>
                <w:szCs w:val="16"/>
              </w:rPr>
              <w:t>(</w:t>
            </w:r>
            <w:r w:rsidRPr="00790508">
              <w:rPr>
                <w:rFonts w:asciiTheme="majorHAnsi" w:hAnsiTheme="majorHAnsi" w:cstheme="majorHAnsi"/>
                <w:b/>
                <w:bCs/>
                <w:sz w:val="16"/>
                <w:szCs w:val="16"/>
              </w:rPr>
              <w:t>SCOPUS:</w:t>
            </w:r>
            <w:r w:rsidRPr="00790508">
              <w:rPr>
                <w:rStyle w:val="text-success"/>
                <w:rFonts w:asciiTheme="majorHAnsi" w:hAnsiTheme="majorHAnsi" w:cstheme="majorHAnsi"/>
                <w:sz w:val="16"/>
                <w:szCs w:val="16"/>
              </w:rPr>
              <w:t>2-s2.0-85086913164</w:t>
            </w:r>
            <w:r w:rsidRPr="00790508">
              <w:rPr>
                <w:rFonts w:asciiTheme="majorHAnsi" w:hAnsiTheme="majorHAnsi" w:cstheme="majorHAnsi"/>
                <w:sz w:val="16"/>
                <w:szCs w:val="16"/>
              </w:rPr>
              <w:t xml:space="preserve">) 236457: A </w:t>
            </w:r>
            <w:proofErr w:type="spellStart"/>
            <w:r w:rsidRPr="00790508">
              <w:rPr>
                <w:rFonts w:asciiTheme="majorHAnsi" w:hAnsiTheme="majorHAnsi" w:cstheme="majorHAnsi"/>
                <w:sz w:val="16"/>
                <w:szCs w:val="16"/>
              </w:rPr>
              <w:t>philosophical</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assessment</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‘new </w:t>
            </w:r>
            <w:proofErr w:type="spellStart"/>
            <w:r w:rsidRPr="00790508">
              <w:rPr>
                <w:rFonts w:asciiTheme="majorHAnsi" w:hAnsiTheme="majorHAnsi" w:cstheme="majorHAnsi"/>
                <w:sz w:val="16"/>
                <w:szCs w:val="16"/>
              </w:rPr>
              <w:t>religion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phenomenon</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global</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context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today</w:t>
            </w:r>
            <w:proofErr w:type="spellEnd"/>
            <w:r w:rsidRPr="00790508">
              <w:rPr>
                <w:rFonts w:asciiTheme="majorHAnsi" w:hAnsiTheme="majorHAnsi" w:cstheme="majorHAnsi"/>
                <w:sz w:val="16"/>
                <w:szCs w:val="16"/>
              </w:rPr>
              <w:t xml:space="preserve"> / </w:t>
            </w:r>
            <w:proofErr w:type="spellStart"/>
            <w:r w:rsidRPr="00790508">
              <w:rPr>
                <w:rFonts w:asciiTheme="majorHAnsi" w:hAnsiTheme="majorHAnsi" w:cstheme="majorHAnsi"/>
                <w:sz w:val="16"/>
                <w:szCs w:val="16"/>
              </w:rPr>
              <w:t>Vu</w:t>
            </w:r>
            <w:proofErr w:type="spellEnd"/>
            <w:r w:rsidRPr="00790508">
              <w:rPr>
                <w:rFonts w:asciiTheme="majorHAnsi" w:hAnsiTheme="majorHAnsi" w:cstheme="majorHAnsi"/>
                <w:sz w:val="16"/>
                <w:szCs w:val="16"/>
              </w:rPr>
              <w:t xml:space="preserve">, Van </w:t>
            </w:r>
            <w:proofErr w:type="spellStart"/>
            <w:r w:rsidRPr="00790508">
              <w:rPr>
                <w:rFonts w:asciiTheme="majorHAnsi" w:hAnsiTheme="majorHAnsi" w:cstheme="majorHAnsi"/>
                <w:sz w:val="16"/>
                <w:szCs w:val="16"/>
              </w:rPr>
              <w:t>Hau</w:t>
            </w:r>
            <w:proofErr w:type="spellEnd"/>
            <w:r w:rsidRPr="00790508">
              <w:rPr>
                <w:rFonts w:asciiTheme="majorHAnsi" w:hAnsiTheme="majorHAnsi" w:cstheme="majorHAnsi"/>
                <w:sz w:val="16"/>
                <w:szCs w:val="16"/>
              </w:rPr>
              <w:t xml:space="preserve"> [Autor, 25%] ; </w:t>
            </w:r>
            <w:proofErr w:type="spellStart"/>
            <w:r w:rsidRPr="00790508">
              <w:rPr>
                <w:rFonts w:asciiTheme="majorHAnsi" w:hAnsiTheme="majorHAnsi" w:cstheme="majorHAnsi"/>
                <w:sz w:val="16"/>
                <w:szCs w:val="16"/>
              </w:rPr>
              <w:t>Nguyen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Thu</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Nghia</w:t>
            </w:r>
            <w:proofErr w:type="spellEnd"/>
            <w:r w:rsidRPr="00790508">
              <w:rPr>
                <w:rFonts w:asciiTheme="majorHAnsi" w:hAnsiTheme="majorHAnsi" w:cstheme="majorHAnsi"/>
                <w:sz w:val="16"/>
                <w:szCs w:val="16"/>
              </w:rPr>
              <w:t xml:space="preserve"> [Autor, 25%] ; </w:t>
            </w:r>
            <w:proofErr w:type="spellStart"/>
            <w:r w:rsidRPr="00790508">
              <w:rPr>
                <w:rFonts w:asciiTheme="majorHAnsi" w:hAnsiTheme="majorHAnsi" w:cstheme="majorHAnsi"/>
                <w:sz w:val="16"/>
                <w:szCs w:val="16"/>
              </w:rPr>
              <w:t>Dang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Thi</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Minh</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Tuan</w:t>
            </w:r>
            <w:proofErr w:type="spellEnd"/>
            <w:r w:rsidRPr="00790508">
              <w:rPr>
                <w:rFonts w:asciiTheme="majorHAnsi" w:hAnsiTheme="majorHAnsi" w:cstheme="majorHAnsi"/>
                <w:sz w:val="16"/>
                <w:szCs w:val="16"/>
              </w:rPr>
              <w:t xml:space="preserve"> [Autor, 25%] ; Do, </w:t>
            </w:r>
            <w:proofErr w:type="spellStart"/>
            <w:r w:rsidRPr="00790508">
              <w:rPr>
                <w:rFonts w:asciiTheme="majorHAnsi" w:hAnsiTheme="majorHAnsi" w:cstheme="majorHAnsi"/>
                <w:sz w:val="16"/>
                <w:szCs w:val="16"/>
              </w:rPr>
              <w:t>Thi</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Thanh</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Huong</w:t>
            </w:r>
            <w:proofErr w:type="spellEnd"/>
            <w:r w:rsidRPr="00790508">
              <w:rPr>
                <w:rFonts w:asciiTheme="majorHAnsi" w:hAnsiTheme="majorHAnsi" w:cstheme="majorHAnsi"/>
                <w:sz w:val="16"/>
                <w:szCs w:val="16"/>
              </w:rPr>
              <w:t xml:space="preserve"> [Autor, 25%]. – DOI 10.18355/XL.2020.13.03.20. – SCOPUS </w:t>
            </w:r>
            <w:r w:rsidRPr="00790508">
              <w:rPr>
                <w:rFonts w:asciiTheme="majorHAnsi" w:hAnsiTheme="majorHAnsi" w:cstheme="majorHAnsi"/>
                <w:sz w:val="16"/>
                <w:szCs w:val="16"/>
              </w:rPr>
              <w:br/>
            </w:r>
            <w:r w:rsidRPr="00790508">
              <w:rPr>
                <w:rFonts w:asciiTheme="majorHAnsi" w:hAnsiTheme="majorHAnsi" w:cstheme="majorHAnsi"/>
                <w:b/>
                <w:bCs/>
                <w:sz w:val="16"/>
                <w:szCs w:val="16"/>
              </w:rPr>
              <w:t>In:</w:t>
            </w:r>
            <w:r w:rsidRPr="00790508">
              <w:rPr>
                <w:rFonts w:asciiTheme="majorHAnsi" w:hAnsiTheme="majorHAnsi" w:cstheme="majorHAnsi"/>
                <w:sz w:val="16"/>
                <w:szCs w:val="16"/>
              </w:rPr>
              <w:t xml:space="preserve"> </w:t>
            </w:r>
            <w:proofErr w:type="spellStart"/>
            <w:r w:rsidRPr="00790508">
              <w:rPr>
                <w:rFonts w:asciiTheme="majorHAnsi" w:hAnsiTheme="majorHAnsi" w:cstheme="majorHAnsi"/>
                <w:i/>
                <w:iCs/>
                <w:sz w:val="16"/>
                <w:szCs w:val="16"/>
              </w:rPr>
              <w:t>XLinguae</w:t>
            </w:r>
            <w:proofErr w:type="spellEnd"/>
            <w:r w:rsidRPr="00790508">
              <w:rPr>
                <w:rFonts w:asciiTheme="majorHAnsi" w:hAnsiTheme="majorHAnsi" w:cstheme="majorHAnsi"/>
                <w:sz w:val="16"/>
                <w:szCs w:val="16"/>
              </w:rPr>
              <w:t xml:space="preserve"> [textový dokument (</w:t>
            </w:r>
            <w:proofErr w:type="spellStart"/>
            <w:r w:rsidRPr="00790508">
              <w:rPr>
                <w:rFonts w:asciiTheme="majorHAnsi" w:hAnsiTheme="majorHAnsi" w:cstheme="majorHAnsi"/>
                <w:sz w:val="16"/>
                <w:szCs w:val="16"/>
              </w:rPr>
              <w:t>print</w:t>
            </w:r>
            <w:proofErr w:type="spellEnd"/>
            <w:r w:rsidRPr="00790508">
              <w:rPr>
                <w:rFonts w:asciiTheme="majorHAnsi" w:hAnsiTheme="majorHAnsi" w:cstheme="majorHAnsi"/>
                <w:sz w:val="16"/>
                <w:szCs w:val="16"/>
              </w:rPr>
              <w:t xml:space="preserve">)] [elektronický dokument] : </w:t>
            </w:r>
            <w:proofErr w:type="spellStart"/>
            <w:r w:rsidRPr="00790508">
              <w:rPr>
                <w:rFonts w:asciiTheme="majorHAnsi" w:hAnsiTheme="majorHAnsi" w:cstheme="majorHAnsi"/>
                <w:sz w:val="16"/>
                <w:szCs w:val="16"/>
              </w:rPr>
              <w:t>European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scientific</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language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journal</w:t>
            </w:r>
            <w:proofErr w:type="spellEnd"/>
            <w:r w:rsidRPr="00790508">
              <w:rPr>
                <w:rFonts w:asciiTheme="majorHAnsi" w:hAnsiTheme="majorHAnsi" w:cstheme="majorHAnsi"/>
                <w:sz w:val="16"/>
                <w:szCs w:val="16"/>
              </w:rPr>
              <w:t xml:space="preserve">. – Nitra (Slovensko) : Vzdelávanie Don </w:t>
            </w:r>
            <w:proofErr w:type="spellStart"/>
            <w:r w:rsidRPr="00790508">
              <w:rPr>
                <w:rFonts w:asciiTheme="majorHAnsi" w:hAnsiTheme="majorHAnsi" w:cstheme="majorHAnsi"/>
                <w:sz w:val="16"/>
                <w:szCs w:val="16"/>
              </w:rPr>
              <w:t>Bosca</w:t>
            </w:r>
            <w:proofErr w:type="spellEnd"/>
            <w:r w:rsidRPr="00790508">
              <w:rPr>
                <w:rFonts w:asciiTheme="majorHAnsi" w:hAnsiTheme="majorHAnsi" w:cstheme="majorHAnsi"/>
                <w:sz w:val="16"/>
                <w:szCs w:val="16"/>
              </w:rPr>
              <w:t>, Nitra (Slovensko) : Slovenská Vzdelávacia a Obstarávacia. – ISSN 1337-8384. – ISSN (online) 2453-711X. – Roč. 13, č. 3 (2020), 241-254 [tlačená forma] [online]</w:t>
            </w:r>
          </w:p>
          <w:p w14:paraId="3049C98D" w14:textId="77777777" w:rsidR="00B13ACE" w:rsidRPr="00790508" w:rsidRDefault="00B30EC9" w:rsidP="00C26381">
            <w:pPr>
              <w:numPr>
                <w:ilvl w:val="0"/>
                <w:numId w:val="2"/>
              </w:numPr>
              <w:tabs>
                <w:tab w:val="left" w:pos="232"/>
              </w:tabs>
              <w:spacing w:after="0" w:line="240" w:lineRule="auto"/>
              <w:ind w:left="28" w:firstLine="0"/>
              <w:rPr>
                <w:rFonts w:asciiTheme="majorHAnsi" w:eastAsia="SimSun" w:hAnsiTheme="majorHAnsi" w:cstheme="majorHAnsi"/>
                <w:sz w:val="16"/>
                <w:szCs w:val="16"/>
                <w:shd w:val="clear" w:color="auto" w:fill="FFFFFF"/>
                <w:lang w:eastAsia="sk-SK"/>
              </w:rPr>
            </w:pPr>
            <w:r w:rsidRPr="00790508">
              <w:rPr>
                <w:rFonts w:asciiTheme="majorHAnsi" w:hAnsiTheme="majorHAnsi" w:cstheme="majorHAnsi"/>
                <w:b/>
                <w:bCs/>
                <w:sz w:val="16"/>
                <w:szCs w:val="16"/>
              </w:rPr>
              <w:t>(SCOPUS:</w:t>
            </w:r>
            <w:r w:rsidRPr="00790508">
              <w:rPr>
                <w:rStyle w:val="text-success"/>
                <w:rFonts w:asciiTheme="majorHAnsi" w:hAnsiTheme="majorHAnsi" w:cstheme="majorHAnsi"/>
                <w:sz w:val="16"/>
                <w:szCs w:val="16"/>
              </w:rPr>
              <w:t>2-s2.0-85112406365</w:t>
            </w:r>
            <w:r w:rsidRPr="00790508">
              <w:rPr>
                <w:rFonts w:asciiTheme="majorHAnsi" w:hAnsiTheme="majorHAnsi" w:cstheme="majorHAnsi"/>
                <w:sz w:val="16"/>
                <w:szCs w:val="16"/>
              </w:rPr>
              <w:t xml:space="preserve">) 442451: </w:t>
            </w:r>
            <w:proofErr w:type="spellStart"/>
            <w:r w:rsidRPr="00790508">
              <w:rPr>
                <w:rFonts w:asciiTheme="majorHAnsi" w:hAnsiTheme="majorHAnsi" w:cstheme="majorHAnsi"/>
                <w:sz w:val="16"/>
                <w:szCs w:val="16"/>
              </w:rPr>
              <w:t>Thinking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with</w:t>
            </w:r>
            <w:proofErr w:type="spellEnd"/>
            <w:r w:rsidRPr="00790508">
              <w:rPr>
                <w:rFonts w:asciiTheme="majorHAnsi" w:hAnsiTheme="majorHAnsi" w:cstheme="majorHAnsi"/>
                <w:sz w:val="16"/>
                <w:szCs w:val="16"/>
              </w:rPr>
              <w:t xml:space="preserve"> John </w:t>
            </w:r>
            <w:proofErr w:type="spellStart"/>
            <w:r w:rsidRPr="00790508">
              <w:rPr>
                <w:rFonts w:asciiTheme="majorHAnsi" w:hAnsiTheme="majorHAnsi" w:cstheme="majorHAnsi"/>
                <w:sz w:val="16"/>
                <w:szCs w:val="16"/>
              </w:rPr>
              <w:t>Locke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about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nature</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human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rights</w:t>
            </w:r>
            <w:proofErr w:type="spellEnd"/>
            <w:r w:rsidRPr="00790508">
              <w:rPr>
                <w:rFonts w:asciiTheme="majorHAnsi" w:hAnsiTheme="majorHAnsi" w:cstheme="majorHAnsi"/>
                <w:sz w:val="16"/>
                <w:szCs w:val="16"/>
              </w:rPr>
              <w:t xml:space="preserve"> : </w:t>
            </w:r>
            <w:proofErr w:type="spellStart"/>
            <w:r w:rsidRPr="00790508">
              <w:rPr>
                <w:rFonts w:asciiTheme="majorHAnsi" w:hAnsiTheme="majorHAnsi" w:cstheme="majorHAnsi"/>
                <w:sz w:val="16"/>
                <w:szCs w:val="16"/>
              </w:rPr>
              <w:t>vietnamese</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global</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perspectives</w:t>
            </w:r>
            <w:proofErr w:type="spellEnd"/>
            <w:r w:rsidRPr="00790508">
              <w:rPr>
                <w:rFonts w:asciiTheme="majorHAnsi" w:hAnsiTheme="majorHAnsi" w:cstheme="majorHAnsi"/>
                <w:sz w:val="16"/>
                <w:szCs w:val="16"/>
              </w:rPr>
              <w:t xml:space="preserve"> / </w:t>
            </w:r>
            <w:proofErr w:type="spellStart"/>
            <w:r w:rsidRPr="00790508">
              <w:rPr>
                <w:rFonts w:asciiTheme="majorHAnsi" w:hAnsiTheme="majorHAnsi" w:cstheme="majorHAnsi"/>
                <w:sz w:val="16"/>
                <w:szCs w:val="16"/>
              </w:rPr>
              <w:t>Valčo</w:t>
            </w:r>
            <w:proofErr w:type="spellEnd"/>
            <w:r w:rsidRPr="00790508">
              <w:rPr>
                <w:rFonts w:asciiTheme="majorHAnsi" w:hAnsiTheme="majorHAnsi" w:cstheme="majorHAnsi"/>
                <w:sz w:val="16"/>
                <w:szCs w:val="16"/>
              </w:rPr>
              <w:t xml:space="preserve">, Michal [Autor, 50%] ; Do, </w:t>
            </w:r>
            <w:proofErr w:type="spellStart"/>
            <w:r w:rsidRPr="00790508">
              <w:rPr>
                <w:rFonts w:asciiTheme="majorHAnsi" w:hAnsiTheme="majorHAnsi" w:cstheme="majorHAnsi"/>
                <w:sz w:val="16"/>
                <w:szCs w:val="16"/>
              </w:rPr>
              <w:t>Hoa</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Thi</w:t>
            </w:r>
            <w:proofErr w:type="spellEnd"/>
            <w:r w:rsidRPr="00790508">
              <w:rPr>
                <w:rFonts w:asciiTheme="majorHAnsi" w:hAnsiTheme="majorHAnsi" w:cstheme="majorHAnsi"/>
                <w:sz w:val="16"/>
                <w:szCs w:val="16"/>
              </w:rPr>
              <w:t xml:space="preserve"> Kim [Autor, 50%]. – [recenzované]. – DOI 10.18355/XL.2021.14.03.01. – SCOPUS </w:t>
            </w:r>
            <w:r w:rsidRPr="00790508">
              <w:rPr>
                <w:rFonts w:asciiTheme="majorHAnsi" w:hAnsiTheme="majorHAnsi" w:cstheme="majorHAnsi"/>
                <w:sz w:val="16"/>
                <w:szCs w:val="16"/>
              </w:rPr>
              <w:br/>
            </w:r>
            <w:r w:rsidRPr="00790508">
              <w:rPr>
                <w:rFonts w:asciiTheme="majorHAnsi" w:hAnsiTheme="majorHAnsi" w:cstheme="majorHAnsi"/>
                <w:b/>
                <w:bCs/>
                <w:sz w:val="16"/>
                <w:szCs w:val="16"/>
              </w:rPr>
              <w:t>In:</w:t>
            </w:r>
            <w:r w:rsidRPr="00790508">
              <w:rPr>
                <w:rFonts w:asciiTheme="majorHAnsi" w:hAnsiTheme="majorHAnsi" w:cstheme="majorHAnsi"/>
                <w:sz w:val="16"/>
                <w:szCs w:val="16"/>
              </w:rPr>
              <w:t xml:space="preserve"> </w:t>
            </w:r>
            <w:proofErr w:type="spellStart"/>
            <w:r w:rsidRPr="00790508">
              <w:rPr>
                <w:rFonts w:asciiTheme="majorHAnsi" w:hAnsiTheme="majorHAnsi" w:cstheme="majorHAnsi"/>
                <w:i/>
                <w:iCs/>
                <w:sz w:val="16"/>
                <w:szCs w:val="16"/>
              </w:rPr>
              <w:t>XLinguae</w:t>
            </w:r>
            <w:proofErr w:type="spellEnd"/>
            <w:r w:rsidRPr="00790508">
              <w:rPr>
                <w:rFonts w:asciiTheme="majorHAnsi" w:hAnsiTheme="majorHAnsi" w:cstheme="majorHAnsi"/>
                <w:sz w:val="16"/>
                <w:szCs w:val="16"/>
              </w:rPr>
              <w:t xml:space="preserve"> [textový dokument (</w:t>
            </w:r>
            <w:proofErr w:type="spellStart"/>
            <w:r w:rsidRPr="00790508">
              <w:rPr>
                <w:rFonts w:asciiTheme="majorHAnsi" w:hAnsiTheme="majorHAnsi" w:cstheme="majorHAnsi"/>
                <w:sz w:val="16"/>
                <w:szCs w:val="16"/>
              </w:rPr>
              <w:t>print</w:t>
            </w:r>
            <w:proofErr w:type="spellEnd"/>
            <w:r w:rsidRPr="00790508">
              <w:rPr>
                <w:rFonts w:asciiTheme="majorHAnsi" w:hAnsiTheme="majorHAnsi" w:cstheme="majorHAnsi"/>
                <w:sz w:val="16"/>
                <w:szCs w:val="16"/>
              </w:rPr>
              <w:t xml:space="preserve">)] [elektronický dokument] : </w:t>
            </w:r>
            <w:proofErr w:type="spellStart"/>
            <w:r w:rsidRPr="00790508">
              <w:rPr>
                <w:rFonts w:asciiTheme="majorHAnsi" w:hAnsiTheme="majorHAnsi" w:cstheme="majorHAnsi"/>
                <w:sz w:val="16"/>
                <w:szCs w:val="16"/>
              </w:rPr>
              <w:t>European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scientific</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language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journal</w:t>
            </w:r>
            <w:proofErr w:type="spellEnd"/>
            <w:r w:rsidRPr="00790508">
              <w:rPr>
                <w:rFonts w:asciiTheme="majorHAnsi" w:hAnsiTheme="majorHAnsi" w:cstheme="majorHAnsi"/>
                <w:sz w:val="16"/>
                <w:szCs w:val="16"/>
              </w:rPr>
              <w:t xml:space="preserve">. – Nitra (Slovensko) : Vzdelávanie Don </w:t>
            </w:r>
            <w:proofErr w:type="spellStart"/>
            <w:r w:rsidRPr="00790508">
              <w:rPr>
                <w:rFonts w:asciiTheme="majorHAnsi" w:hAnsiTheme="majorHAnsi" w:cstheme="majorHAnsi"/>
                <w:sz w:val="16"/>
                <w:szCs w:val="16"/>
              </w:rPr>
              <w:t>Bosca</w:t>
            </w:r>
            <w:proofErr w:type="spellEnd"/>
            <w:r w:rsidRPr="00790508">
              <w:rPr>
                <w:rFonts w:asciiTheme="majorHAnsi" w:hAnsiTheme="majorHAnsi" w:cstheme="majorHAnsi"/>
                <w:sz w:val="16"/>
                <w:szCs w:val="16"/>
              </w:rPr>
              <w:t>, Nitra (Slovensko) : Slovenská Vzdelávacia a Obstarávacia. – ISSN 1337-8384. – ISSN (online) 2453-711X. – Roč. 14, č. 3 (2021), s. 3-18 [tlačená forma] [online]</w:t>
            </w:r>
          </w:p>
        </w:tc>
        <w:tc>
          <w:tcPr>
            <w:tcW w:w="312" w:type="dxa"/>
            <w:vAlign w:val="center"/>
          </w:tcPr>
          <w:p w14:paraId="19C5F979"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345B4275"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5CB3F35"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5144A853" w14:textId="77777777" w:rsidR="000353C4" w:rsidRPr="00790508" w:rsidRDefault="000353C4" w:rsidP="00C26381">
            <w:pPr>
              <w:pStyle w:val="PredformtovanHTML"/>
              <w:shd w:val="clear" w:color="auto" w:fill="F8F9FA"/>
              <w:rPr>
                <w:rFonts w:asciiTheme="majorHAnsi" w:hAnsiTheme="majorHAnsi" w:cstheme="majorHAnsi"/>
                <w:sz w:val="16"/>
                <w:szCs w:val="16"/>
              </w:rPr>
            </w:pPr>
            <w:r w:rsidRPr="00790508">
              <w:rPr>
                <w:rFonts w:asciiTheme="majorHAnsi" w:hAnsiTheme="majorHAnsi" w:cstheme="majorHAnsi"/>
                <w:sz w:val="16"/>
                <w:szCs w:val="16"/>
              </w:rPr>
              <w:t xml:space="preserve">Výstup reflektuje aktuálnu situáciu ohľadom </w:t>
            </w:r>
            <w:proofErr w:type="spellStart"/>
            <w:r w:rsidRPr="00790508">
              <w:rPr>
                <w:rFonts w:asciiTheme="majorHAnsi" w:hAnsiTheme="majorHAnsi" w:cstheme="majorHAnsi"/>
                <w:sz w:val="16"/>
                <w:szCs w:val="16"/>
              </w:rPr>
              <w:t>abortivizmu</w:t>
            </w:r>
            <w:proofErr w:type="spellEnd"/>
            <w:r w:rsidRPr="00790508">
              <w:rPr>
                <w:rFonts w:asciiTheme="majorHAnsi" w:hAnsiTheme="majorHAnsi" w:cstheme="majorHAnsi"/>
                <w:sz w:val="16"/>
                <w:szCs w:val="16"/>
              </w:rPr>
              <w:t xml:space="preserve"> a eutanázie v súčasných podmienkach nielen Európy. /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output </w:t>
            </w:r>
            <w:proofErr w:type="spellStart"/>
            <w:r w:rsidRPr="00790508">
              <w:rPr>
                <w:rFonts w:asciiTheme="majorHAnsi" w:hAnsiTheme="majorHAnsi" w:cstheme="majorHAnsi"/>
                <w:sz w:val="16"/>
                <w:szCs w:val="16"/>
              </w:rPr>
              <w:t>reflects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situation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regarding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abortivism</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euthanasia</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conditions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not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only</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Europe</w:t>
            </w:r>
            <w:proofErr w:type="spellEnd"/>
            <w:r w:rsidRPr="00790508">
              <w:rPr>
                <w:rFonts w:asciiTheme="majorHAnsi" w:hAnsiTheme="majorHAnsi" w:cstheme="majorHAnsi"/>
                <w:sz w:val="16"/>
                <w:szCs w:val="16"/>
              </w:rPr>
              <w:t>.</w:t>
            </w:r>
          </w:p>
          <w:p w14:paraId="4A6C6140" w14:textId="77777777" w:rsidR="00B13ACE" w:rsidRDefault="00B13ACE" w:rsidP="00C26381">
            <w:pPr>
              <w:pStyle w:val="PredformtovanHTML"/>
              <w:shd w:val="clear" w:color="auto" w:fill="F8F9FA"/>
              <w:rPr>
                <w:rFonts w:asciiTheme="majorHAnsi" w:hAnsiTheme="majorHAnsi" w:cstheme="majorHAnsi"/>
                <w:sz w:val="16"/>
                <w:szCs w:val="16"/>
              </w:rPr>
            </w:pPr>
          </w:p>
          <w:p w14:paraId="3ADBAC5E" w14:textId="77777777" w:rsidR="00EB369E" w:rsidRDefault="00EB369E" w:rsidP="00EB369E">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18705D01" w14:textId="77777777" w:rsidR="00EB369E" w:rsidRDefault="00EB369E" w:rsidP="00EB369E">
            <w:pPr>
              <w:pStyle w:val="PredformtovanHTML"/>
              <w:shd w:val="clear" w:color="auto" w:fill="F8F9FA"/>
              <w:jc w:val="both"/>
              <w:rPr>
                <w:rFonts w:ascii="Calibri" w:hAnsi="Calibri" w:cs="Calibri"/>
                <w:color w:val="000000"/>
                <w:sz w:val="16"/>
                <w:szCs w:val="16"/>
              </w:rPr>
            </w:pPr>
          </w:p>
          <w:p w14:paraId="29ACB473" w14:textId="77777777" w:rsidR="00EB369E" w:rsidRDefault="00EB369E" w:rsidP="00EB369E">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 xml:space="preserve">môže ovplyvniť medzinárodné vzťahy a spoluprácu </w:t>
            </w:r>
            <w:r w:rsidRPr="008F1C26">
              <w:rPr>
                <w:rFonts w:ascii="Calibri" w:hAnsi="Calibri" w:cs="Calibri"/>
                <w:color w:val="000000"/>
                <w:sz w:val="16"/>
                <w:szCs w:val="16"/>
              </w:rPr>
              <w:lastRenderedPageBreak/>
              <w:t>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61936562" w14:textId="77777777" w:rsidR="00EB369E" w:rsidRDefault="00EB369E" w:rsidP="00EB369E">
            <w:pPr>
              <w:pStyle w:val="PredformtovanHTML"/>
              <w:shd w:val="clear" w:color="auto" w:fill="F8F9FA"/>
              <w:jc w:val="both"/>
              <w:rPr>
                <w:rFonts w:ascii="Calibri" w:hAnsi="Calibri" w:cs="Calibri"/>
                <w:color w:val="000000"/>
                <w:sz w:val="16"/>
                <w:szCs w:val="16"/>
              </w:rPr>
            </w:pPr>
          </w:p>
          <w:p w14:paraId="51FA4A59" w14:textId="134701F4" w:rsidR="00EB369E" w:rsidRPr="00EB369E" w:rsidRDefault="00EB369E" w:rsidP="00EB369E">
            <w:pPr>
              <w:pStyle w:val="PredformtovanHTML"/>
              <w:shd w:val="clear" w:color="auto" w:fill="F8F9FA"/>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0A031C24"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r w:rsidR="00790508" w:rsidRPr="00790508" w14:paraId="0694DA4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C1150E1" w14:textId="77777777" w:rsidR="00B13ACE" w:rsidRPr="00790508" w:rsidRDefault="003B49FC" w:rsidP="00C26381">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02653772" w14:textId="77777777" w:rsidR="00B13ACE" w:rsidRDefault="000353C4" w:rsidP="00EB369E">
            <w:pPr>
              <w:pStyle w:val="PredformtovanHTML"/>
              <w:shd w:val="clear" w:color="auto" w:fill="F8F9FA"/>
              <w:jc w:val="both"/>
              <w:rPr>
                <w:rFonts w:asciiTheme="majorHAnsi" w:hAnsiTheme="majorHAnsi" w:cstheme="majorHAnsi"/>
                <w:sz w:val="16"/>
                <w:szCs w:val="16"/>
              </w:rPr>
            </w:pPr>
            <w:bookmarkStart w:id="1" w:name="_Hlk158048507"/>
            <w:r w:rsidRPr="00790508">
              <w:rPr>
                <w:rFonts w:asciiTheme="majorHAnsi" w:hAnsiTheme="majorHAnsi" w:cstheme="majorHAnsi"/>
                <w:sz w:val="16"/>
                <w:szCs w:val="16"/>
              </w:rPr>
              <w:t xml:space="preserve">Výstup reflektuje aktuálnu situáciu ohľadom </w:t>
            </w:r>
            <w:proofErr w:type="spellStart"/>
            <w:r w:rsidRPr="00790508">
              <w:rPr>
                <w:rFonts w:asciiTheme="majorHAnsi" w:hAnsiTheme="majorHAnsi" w:cstheme="majorHAnsi"/>
                <w:sz w:val="16"/>
                <w:szCs w:val="16"/>
              </w:rPr>
              <w:t>abortivizmu</w:t>
            </w:r>
            <w:proofErr w:type="spellEnd"/>
            <w:r w:rsidRPr="00790508">
              <w:rPr>
                <w:rFonts w:asciiTheme="majorHAnsi" w:hAnsiTheme="majorHAnsi" w:cstheme="majorHAnsi"/>
                <w:sz w:val="16"/>
                <w:szCs w:val="16"/>
              </w:rPr>
              <w:t xml:space="preserve"> a eutanázie v súčasných podmienkach nielen Európy. Ide o prielomový príspevok, ktorý </w:t>
            </w:r>
            <w:proofErr w:type="spellStart"/>
            <w:r w:rsidRPr="00790508">
              <w:rPr>
                <w:rFonts w:asciiTheme="majorHAnsi" w:hAnsiTheme="majorHAnsi" w:cstheme="majorHAnsi"/>
                <w:sz w:val="16"/>
                <w:szCs w:val="16"/>
              </w:rPr>
              <w:t>demoštruje</w:t>
            </w:r>
            <w:proofErr w:type="spellEnd"/>
            <w:r w:rsidRPr="00790508">
              <w:rPr>
                <w:rFonts w:asciiTheme="majorHAnsi" w:hAnsiTheme="majorHAnsi" w:cstheme="majorHAnsi"/>
                <w:sz w:val="16"/>
                <w:szCs w:val="16"/>
              </w:rPr>
              <w:t xml:space="preserve"> výzvy a perspektívy v oblasti výchovy, rodiny a nových modelov rodín v rýchlo meniacej sa spoločnosti. Dôraz sa kladie na prevenciu. </w:t>
            </w:r>
            <w:bookmarkEnd w:id="1"/>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output </w:t>
            </w:r>
            <w:proofErr w:type="spellStart"/>
            <w:r w:rsidRPr="00790508">
              <w:rPr>
                <w:rFonts w:asciiTheme="majorHAnsi" w:hAnsiTheme="majorHAnsi" w:cstheme="majorHAnsi"/>
                <w:sz w:val="16"/>
                <w:szCs w:val="16"/>
              </w:rPr>
              <w:t>reflects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situation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regarding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abortivism</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euthanasia</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conditions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not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only</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Europe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is</w:t>
            </w:r>
            <w:proofErr w:type="spellEnd"/>
            <w:r w:rsidRPr="00790508">
              <w:rPr>
                <w:rFonts w:asciiTheme="majorHAnsi" w:hAnsiTheme="majorHAnsi" w:cstheme="majorHAnsi"/>
                <w:sz w:val="16"/>
                <w:szCs w:val="16"/>
              </w:rPr>
              <w:t xml:space="preserve"> a </w:t>
            </w:r>
            <w:proofErr w:type="spellStart"/>
            <w:r w:rsidRPr="00790508">
              <w:rPr>
                <w:rFonts w:asciiTheme="majorHAnsi" w:hAnsiTheme="majorHAnsi" w:cstheme="majorHAnsi"/>
                <w:sz w:val="16"/>
                <w:szCs w:val="16"/>
              </w:rPr>
              <w:t>groundbreaking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contribution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that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demonstrates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challenges</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perspectives</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education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and new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models</w:t>
            </w:r>
            <w:proofErr w:type="spellEnd"/>
            <w:r w:rsidRPr="00790508">
              <w:rPr>
                <w:rFonts w:asciiTheme="majorHAnsi" w:hAnsiTheme="majorHAnsi" w:cstheme="majorHAnsi"/>
                <w:sz w:val="16"/>
                <w:szCs w:val="16"/>
              </w:rPr>
              <w:t xml:space="preserve"> in a </w:t>
            </w:r>
            <w:proofErr w:type="spellStart"/>
            <w:r w:rsidRPr="00790508">
              <w:rPr>
                <w:rFonts w:asciiTheme="majorHAnsi" w:hAnsiTheme="majorHAnsi" w:cstheme="majorHAnsi"/>
                <w:sz w:val="16"/>
                <w:szCs w:val="16"/>
              </w:rPr>
              <w:t>rapidly</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changing</w:t>
            </w:r>
            <w:proofErr w:type="spellEnd"/>
            <w:r w:rsidRPr="00790508">
              <w:rPr>
                <w:rFonts w:asciiTheme="majorHAnsi" w:hAnsiTheme="majorHAnsi" w:cstheme="majorHAnsi"/>
                <w:sz w:val="16"/>
                <w:szCs w:val="16"/>
              </w:rPr>
              <w:t xml:space="preserve"> society.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emphasis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is</w:t>
            </w:r>
            <w:proofErr w:type="spellEnd"/>
            <w:r w:rsidRPr="00790508">
              <w:rPr>
                <w:rFonts w:asciiTheme="majorHAnsi" w:hAnsiTheme="majorHAnsi" w:cstheme="majorHAnsi"/>
                <w:sz w:val="16"/>
                <w:szCs w:val="16"/>
              </w:rPr>
              <w:t xml:space="preserve"> on </w:t>
            </w:r>
            <w:proofErr w:type="spellStart"/>
            <w:r w:rsidRPr="00790508">
              <w:rPr>
                <w:rFonts w:asciiTheme="majorHAnsi" w:hAnsiTheme="majorHAnsi" w:cstheme="majorHAnsi"/>
                <w:sz w:val="16"/>
                <w:szCs w:val="16"/>
              </w:rPr>
              <w:t>prevention</w:t>
            </w:r>
            <w:proofErr w:type="spellEnd"/>
            <w:r w:rsidRPr="00790508">
              <w:rPr>
                <w:rFonts w:asciiTheme="majorHAnsi" w:hAnsiTheme="majorHAnsi" w:cstheme="majorHAnsi"/>
                <w:sz w:val="16"/>
                <w:szCs w:val="16"/>
              </w:rPr>
              <w:t>.</w:t>
            </w:r>
          </w:p>
          <w:p w14:paraId="01E3F49D" w14:textId="77777777" w:rsidR="00EB369E" w:rsidRDefault="00EB369E" w:rsidP="00EB369E">
            <w:pPr>
              <w:pStyle w:val="PredformtovanHTML"/>
              <w:shd w:val="clear" w:color="auto" w:fill="F8F9FA"/>
              <w:jc w:val="both"/>
              <w:rPr>
                <w:rFonts w:asciiTheme="majorHAnsi" w:hAnsiTheme="majorHAnsi" w:cstheme="majorHAnsi"/>
                <w:sz w:val="16"/>
                <w:szCs w:val="16"/>
              </w:rPr>
            </w:pPr>
          </w:p>
          <w:p w14:paraId="1DBB2968" w14:textId="77777777" w:rsidR="00EB369E" w:rsidRPr="00456BCA" w:rsidRDefault="00EB369E" w:rsidP="00EB369E">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5A952D9E" w14:textId="77777777" w:rsidR="00EB369E" w:rsidRPr="00456BCA" w:rsidRDefault="00EB369E" w:rsidP="00EB369E">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o demografických zmenách a trendoch, ktoré prináša spoločný európsky priestor.</w:t>
            </w:r>
            <w:r>
              <w:rPr>
                <w:rFonts w:ascii="Calibri" w:hAnsi="Calibri" w:cs="Calibri"/>
                <w:i/>
                <w:iCs/>
                <w:color w:val="000000"/>
                <w:sz w:val="16"/>
                <w:szCs w:val="16"/>
              </w:rPr>
              <w:t xml:space="preserve">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45940553" w14:textId="77777777" w:rsidR="00EB369E" w:rsidRDefault="00EB369E" w:rsidP="00EB369E">
            <w:pPr>
              <w:pStyle w:val="PredformtovanHTML"/>
              <w:shd w:val="clear" w:color="auto" w:fill="F8F9FA"/>
              <w:jc w:val="both"/>
              <w:rPr>
                <w:rFonts w:ascii="Calibri" w:hAnsi="Calibri" w:cs="Calibri"/>
                <w:i/>
                <w:iCs/>
                <w:color w:val="000000"/>
                <w:sz w:val="16"/>
                <w:szCs w:val="16"/>
              </w:rPr>
            </w:pPr>
          </w:p>
          <w:p w14:paraId="6CAFE523" w14:textId="1B7D901F" w:rsidR="00EB369E" w:rsidRDefault="00EB369E" w:rsidP="00EB369E">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2F58A16E" w14:textId="77777777" w:rsidR="00EB369E" w:rsidRPr="00790508" w:rsidRDefault="00EB369E" w:rsidP="00C26381">
            <w:pPr>
              <w:pStyle w:val="PredformtovanHTML"/>
              <w:shd w:val="clear" w:color="auto" w:fill="F8F9FA"/>
              <w:jc w:val="both"/>
              <w:rPr>
                <w:rFonts w:asciiTheme="majorHAnsi" w:hAnsiTheme="majorHAnsi" w:cstheme="majorHAnsi"/>
                <w:sz w:val="16"/>
                <w:szCs w:val="16"/>
              </w:rPr>
            </w:pPr>
          </w:p>
        </w:tc>
        <w:tc>
          <w:tcPr>
            <w:tcW w:w="312" w:type="dxa"/>
            <w:vAlign w:val="center"/>
          </w:tcPr>
          <w:p w14:paraId="7635BCB1" w14:textId="77777777" w:rsidR="00B13ACE" w:rsidRPr="00790508" w:rsidRDefault="00B13ACE" w:rsidP="00C26381">
            <w:pPr>
              <w:spacing w:after="0" w:line="240" w:lineRule="auto"/>
              <w:rPr>
                <w:rFonts w:asciiTheme="majorHAnsi" w:eastAsia="Times New Roman" w:hAnsiTheme="majorHAnsi" w:cstheme="majorHAnsi"/>
                <w:sz w:val="20"/>
                <w:szCs w:val="20"/>
                <w:lang w:eastAsia="sk-SK"/>
              </w:rPr>
            </w:pPr>
          </w:p>
        </w:tc>
      </w:tr>
    </w:tbl>
    <w:p w14:paraId="1787632A" w14:textId="77777777" w:rsidR="00B13ACE" w:rsidRPr="00790508" w:rsidRDefault="00B13ACE" w:rsidP="00C26381">
      <w:pPr>
        <w:spacing w:line="240" w:lineRule="auto"/>
        <w:rPr>
          <w:rFonts w:asciiTheme="majorHAnsi" w:hAnsiTheme="majorHAnsi" w:cstheme="majorHAnsi"/>
        </w:rPr>
      </w:pPr>
    </w:p>
    <w:sectPr w:rsidR="00B13ACE" w:rsidRPr="0079050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E4125" w14:textId="77777777" w:rsidR="00962471" w:rsidRDefault="00962471">
      <w:pPr>
        <w:spacing w:line="240" w:lineRule="auto"/>
      </w:pPr>
      <w:r>
        <w:separator/>
      </w:r>
    </w:p>
  </w:endnote>
  <w:endnote w:type="continuationSeparator" w:id="0">
    <w:p w14:paraId="10B8ACE8" w14:textId="77777777" w:rsidR="00962471" w:rsidRDefault="00962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41F1A" w14:textId="77777777" w:rsidR="00962471" w:rsidRDefault="00962471">
      <w:pPr>
        <w:spacing w:after="0"/>
      </w:pPr>
      <w:r>
        <w:separator/>
      </w:r>
    </w:p>
  </w:footnote>
  <w:footnote w:type="continuationSeparator" w:id="0">
    <w:p w14:paraId="04939813" w14:textId="77777777" w:rsidR="00962471" w:rsidRDefault="009624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8436873">
    <w:abstractNumId w:val="0"/>
  </w:num>
  <w:num w:numId="2" w16cid:durableId="1141272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90A9C"/>
    <w:rsid w:val="00211BB7"/>
    <w:rsid w:val="003B49FC"/>
    <w:rsid w:val="004C0ADE"/>
    <w:rsid w:val="0073261A"/>
    <w:rsid w:val="0075266F"/>
    <w:rsid w:val="00790508"/>
    <w:rsid w:val="00962471"/>
    <w:rsid w:val="00AE2ECB"/>
    <w:rsid w:val="00B13ACE"/>
    <w:rsid w:val="00B30EC9"/>
    <w:rsid w:val="00C26381"/>
    <w:rsid w:val="00D25546"/>
    <w:rsid w:val="00EB369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8FA36"/>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EB369E"/>
    <w:rPr>
      <w:rFonts w:ascii="Courier New" w:eastAsia="Times New Roman" w:hAnsi="Courier New" w:cs="Courier New"/>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2243</Words>
  <Characters>12786</Characters>
  <Application>Microsoft Office Word</Application>
  <DocSecurity>0</DocSecurity>
  <Lines>106</Lines>
  <Paragraphs>29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Pavol Tomanek</cp:lastModifiedBy>
  <cp:revision>7</cp:revision>
  <dcterms:created xsi:type="dcterms:W3CDTF">2022-05-22T13:03:00Z</dcterms:created>
  <dcterms:modified xsi:type="dcterms:W3CDTF">2024-02-05T17:16:00Z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